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rFonts w:ascii="Open Sans" w:cs="Open Sans" w:eastAsia="Open Sans" w:hAnsi="Open Sans"/>
          <w:sz w:val="42"/>
          <w:szCs w:val="42"/>
        </w:rPr>
      </w:pPr>
      <w:bookmarkStart w:colFirst="0" w:colLast="0" w:name="_9iiiwxsnmoy3" w:id="0"/>
      <w:bookmarkEnd w:id="0"/>
      <w:r w:rsidDel="00000000" w:rsidR="00000000" w:rsidRPr="00000000">
        <w:rPr>
          <w:rFonts w:ascii="Open Sans" w:cs="Open Sans" w:eastAsia="Open Sans" w:hAnsi="Open Sans"/>
          <w:sz w:val="42"/>
          <w:szCs w:val="42"/>
          <w:rtl w:val="0"/>
        </w:rPr>
        <w:t xml:space="preserve">Property ROI Analysis Tool — Technical Specification V3 Regression Calibration Addendum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Artifact Type: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Technical Specification addendum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June 2026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Draft addendum for incorporation into Technical Specification V4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Manus AI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Related Decisions: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Decisions Log V12, D-V12-001 through D-V12-006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Scope: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Regression data ingestion, sale-date export repair, Greenville smoke-test status, model registry contract, validator requirements, and model-promotion constraints.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3cl4dhavyhdt" w:id="1"/>
      <w:bookmarkEnd w:id="1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This addendum captures the technical architecture updates created by the Greenville regression workstream. It should be incorporated into the next full Technical Specification version rather than treated as a permanent standalone document.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workstream materially changed the project state. The regression problem is no longer blocked by the absence of comparable-sales files. The project now has a corrected Greenville comparable-sales fixture, a local smoke-test regression flow, a versioned model registry pattern, and a registry validator. The remaining blocker is model quality and promotion readiness, not basic pipeline runnability.</w:t>
      </w:r>
    </w:p>
    <w:p w:rsidR="00000000" w:rsidDel="00000000" w:rsidP="00000000" w:rsidRDefault="00000000" w:rsidRPr="00000000" w14:paraId="00000007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riftxfekidq1" w:id="2"/>
      <w:bookmarkEnd w:id="2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2. Updated Regression Architecture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approved regression calibration flow is now: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ATTOM sale/snapshot response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corrected comparable-sales export mapper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local corrected market 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regression cleaning and date-window filtering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modeling dataset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development diagnostics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versioned model registry artifact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model registry validation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future promotion-readiness review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→ future approved model consumption by product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product must maintain a hard separation between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diagnostic regression outputs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approved recommendation calibration artifacts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A model registry artifact can be structurally valid while still being prohibited from seller-facing use.</w:t>
      </w:r>
    </w:p>
    <w:p w:rsidR="00000000" w:rsidDel="00000000" w:rsidP="00000000" w:rsidRDefault="00000000" w:rsidRPr="00000000" w14:paraId="0000001F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3u988q0djo9" w:id="3"/>
      <w:bookmarkEnd w:id="3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3. ATTOM Sale-Date Export Requirement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comparable-sales export mapper must populate the canonical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rtl w:val="0"/>
        </w:rPr>
        <w:t xml:space="preserve">sale_date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field using the following fallback sequence: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sale_date = first_present(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   sale.get("saleTransDate"),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   sale.get("salesearchdate"),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   amount.get("salerecdate"),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prior mapping to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rtl w:val="0"/>
        </w:rPr>
        <w:t xml:space="preserve">sale.amount.saletransdate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is rejected because it produced blank sale dates in the uploaded 12-metro package. Regression code should not attempt to infer sale dates after export unless raw ATTOM payloads are retained. The correct fix is upstream in the data export mapper.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Treatment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Canonical application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sale_date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Required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Parseable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Required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Nonblank coverage, parseable coverage, min/max date, date-window usable rows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Regression blocker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Zero usable rows with parseable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sale_date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Regression smoke-test acceptable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Market-specific corrected file with sufficient parseable rows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waywlcym6b2" w:id="4"/>
      <w:bookmarkEnd w:id="4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4. Greenville MVP Smoke-Test Fixture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corrected Greenville-Anderson-Greer file is accepted as the first local fixture for regression smoke testing. It is not accepted as product-calibration proof.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righ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Raw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4,000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Nonblank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sale_date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3,980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Parseable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sale_date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3,980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Conservative usable rows across all 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1,477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Recommended smoke-test date 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2024-01-01 through 2026-06-03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Usable rows in recommended 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1,169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approved purpose of this fixture is to prove local runnability, not to calibrate final ROI coefficients.</w:t>
      </w:r>
    </w:p>
    <w:p w:rsidR="00000000" w:rsidDel="00000000" w:rsidP="00000000" w:rsidRDefault="00000000" w:rsidRPr="00000000" w14:paraId="0000004D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ddb3c1g8o8xo" w:id="5"/>
      <w:bookmarkEnd w:id="5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5. Model Registry Artifact Requirement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Regression coefficients must be exported into a versioned model registry artifact. Development diagnostics are not a stable product interface.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Artifact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Example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Product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Development diagnostics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regression/output/greenville_smoke_regression_diagnostics.json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Review-only; not consumed by product logic.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Modeling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regression/output/greenville_modeling_dataset.csv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Reproducibility and debugging.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Model registry 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model_registry/greenville_sc/hedonic_ppsf_v0_1.json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Future product-consumable pattern, subject to approval gate.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Registry validation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regression/output/model_registry_validation_report.json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QA evidence that artifact contract is structurally valid.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model registry artifact should include identity, scope, metrics, model parameters, preprocessing assumptions, governance status, and approval flags.</w:t>
      </w:r>
    </w:p>
    <w:p w:rsidR="00000000" w:rsidDel="00000000" w:rsidP="00000000" w:rsidRDefault="00000000" w:rsidRPr="00000000" w14:paraId="00000061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kgjyzog5cu3j" w:id="6"/>
      <w:bookmarkEnd w:id="6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6. Required Model Registry Fields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Required Fields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model_id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model_version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market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model_type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training_window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, source dataset path, modeling dataset path, row counts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Train/test R², MAE, RMSE, and future cross-validation 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intercept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coefficients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feature_names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input_features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Standardization, one-hot encoding, target transform, missing-value handling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approved_for_recommendations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created_at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, notes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If numeric features are standardized before fitting, the artifact must say so. The application must not present standardized coefficients as raw-dollar or raw-square-foot causal effects.</w:t>
      </w:r>
    </w:p>
    <w:p w:rsidR="00000000" w:rsidDel="00000000" w:rsidP="00000000" w:rsidRDefault="00000000" w:rsidRPr="00000000" w14:paraId="00000072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s7oub3lpterf" w:id="7"/>
      <w:bookmarkEnd w:id="7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7. Model Consumption Rule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backend or recommendation engine must refuse to consume a model artifact unless both of the following are true: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 "status": "approved",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 "approved_for_recommendations": true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 structurally valid artifact with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rtl w:val="0"/>
        </w:rPr>
        <w:t xml:space="preserve">status: "diagnostic_only"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is not sufficient. The current Greenville v0.1 artifact is explicitly diagnostic-only and must not influence seller-facing spend recommendations.</w:t>
      </w:r>
    </w:p>
    <w:p w:rsidR="00000000" w:rsidDel="00000000" w:rsidP="00000000" w:rsidRDefault="00000000" w:rsidRPr="00000000" w14:paraId="0000007E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vxdyjfkm8bhe" w:id="8"/>
      <w:bookmarkEnd w:id="8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8. Validator Requirement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 model registry validator is now part of the required regression QA chain. The validator should check that required fields exist, metrics are present, coefficients and feature names are non-empty and consistent, source/modeling dataset paths exist in the validation environment, and diagnostic-only models are not approved for recommendations.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Validator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Clear PASS/FAIL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Machine-readable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JSON report in regression output folder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Failure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Nonzero exit code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Approval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Must not modify or approve artifacts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Governance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Structural validation only, not promotion approval</w:t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fyw9yasmvom1" w:id="9"/>
      <w:bookmarkEnd w:id="9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9. Promotion-Readiness Requirement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next required technical step is a promotion-readiness checker. It should inspect the model registry artifact and diagnostics, then classify the model as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rtl w:val="0"/>
        </w:rPr>
        <w:t xml:space="preserve">NEEDS_REVIEW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against configurable thresholds.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Promotion 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Required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Data validity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Sale-date coverage, row count, date window, source traceability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R², MAE, RMSE, cross-validation 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Residual diagnostics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ZIP, price band, size band, sale period, and other segments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Coefficient sanity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Direction, scale, and preprocessing-aware 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Business usefulness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Ability to support spend-order recommendations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Manual decision record required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model should become seller-facing merely because a script produced coefficients.</w:t>
      </w:r>
    </w:p>
    <w:p w:rsidR="00000000" w:rsidDel="00000000" w:rsidP="00000000" w:rsidRDefault="00000000" w:rsidRPr="00000000" w14:paraId="000000A0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19m9az2iqtz0" w:id="10"/>
      <w:bookmarkEnd w:id="10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10. Backend Data Model Implications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For development, a file-based </w:t>
      </w:r>
      <w:r w:rsidDel="00000000" w:rsidR="00000000" w:rsidRPr="00000000">
        <w:rPr>
          <w:rFonts w:ascii="Open Sans" w:cs="Open Sans" w:eastAsia="Open Sans" w:hAnsi="Open Sans"/>
          <w:color w:val="188038"/>
          <w:sz w:val="24"/>
          <w:szCs w:val="24"/>
          <w:rtl w:val="0"/>
        </w:rPr>
        <w:t xml:space="preserve">model_registry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is acceptable. For production, the backend should eventually promote approved model metadata and coefficients into governed tables.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Future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market_model_versions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Stores market, model version, target, date window, status, approval flag, and metrics summary.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market_model_coefficients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Stores coefficient names and values tied to a model version.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model_diagnostics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Stores detailed validation metrics, residual summaries, and promotion-review evidence.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model_artifact_audit_log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Stores promotion, retirement, and approval events.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MVP can defer database promotion until the backend architecture is ready, but the Technical Specification should reserve this concept now so the coefficient lifecycle does not become ad hoc.</w:t>
      </w:r>
    </w:p>
    <w:p w:rsidR="00000000" w:rsidDel="00000000" w:rsidP="00000000" w:rsidRDefault="00000000" w:rsidRPr="00000000" w14:paraId="000000AF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k802go1ebgd" w:id="11"/>
      <w:bookmarkEnd w:id="11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11. Testing Requirements</w:t>
      </w:r>
    </w:p>
    <w:p w:rsidR="00000000" w:rsidDel="00000000" w:rsidP="00000000" w:rsidRDefault="00000000" w:rsidRPr="00000000" w14:paraId="000000B0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testing plan must include tests for the following behaviors.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Test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Sale-date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Correct ATTOM fallback mapping populates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sale_date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Date parsing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Invalid or blank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sale_date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 rows are excluded from time-aware regression.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Smoke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Greenville fixture can run locally without ATTOM API calls.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Registry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Model artifacts missing required fields fail validation.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Approval guard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Diagnostic-only artifacts cannot be loaded by recommendation logic.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Scoring logic applies the same preprocessing used during training.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Promotion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Promotion checker reports missing diagnostics and weak metrics without approving the model.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wm81844zqzod" w:id="12"/>
      <w:bookmarkEnd w:id="12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12. Technical Risks Remaining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Low baseline explanatory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Run diagnostics before expanding data collection.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Missing renovation/condition variables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Evaluate available proxy fields and enriched sources.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Misinterpreted standardized coefficients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Preserve preprocessing metadata and avoid causal language.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Accidental use of diagnostic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Controlled but 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Require loader refusal tests and approval flags.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Excessive API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Controlled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Use Greenville diagnostics before full-market repulls.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Market overgeneralization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Require market-specific approval and residual review.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xbrj9gt5xhnj" w:id="13"/>
      <w:bookmarkEnd w:id="13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13. Required Incorporation into Technical Specification V4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next full technical specification update should incorporate this addendum into the core architecture. The V4 update should avoid treating regression as a single script and instead describe regression as a governed calibration subsystem with ingestion, fixture management, diagnostics, model registry, validation, promotion, and product-consumption boundaries.</w:t>
      </w:r>
    </w:p>
    <w:p w:rsidR="00000000" w:rsidDel="00000000" w:rsidP="00000000" w:rsidRDefault="00000000" w:rsidRPr="00000000" w14:paraId="000000DA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lce1lnbzwxfu" w:id="14"/>
      <w:bookmarkEnd w:id="14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14. Bottom Line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project now has a credible path from corrected comparable-sales data to governed calibration artifacts. The next technical priority is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promotion-readiness diagnostics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not broader API consumption and not seller-facing recommendation integration.</w:t>
      </w:r>
    </w:p>
    <w:p w:rsidR="00000000" w:rsidDel="00000000" w:rsidP="00000000" w:rsidRDefault="00000000" w:rsidRPr="00000000" w14:paraId="000000DC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