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Продолжение SOP лабораторного оборудования (формат пошаговых инструкций)</w:t>
      </w:r>
    </w:p>
    <w:p>
      <w:pPr>
        <w:pStyle w:val="Heading1"/>
      </w:pPr>
      <w:r>
        <w:t>FTIR‑спектрофотометр Shimadzu IRAffinity‑1</w:t>
      </w:r>
    </w:p>
    <w:p>
      <w:r>
        <w:t>Назначение:</w:t>
      </w:r>
    </w:p>
    <w:p>
      <w:r>
        <w:t>Идентификация химического состава пищевых продуктов и жиров методом инфракрасной спектроскопии.</w:t>
      </w:r>
    </w:p>
    <w:p/>
    <w:p>
      <w:r>
        <w:t>Типичный анализ:</w:t>
      </w:r>
    </w:p>
    <w:p>
      <w:r>
        <w:t>Определение состава растительных масел и обнаружение фальсификации.</w:t>
      </w:r>
    </w:p>
    <w:p/>
    <w:p>
      <w:r>
        <w:t>Пробоподготовка:</w:t>
      </w:r>
    </w:p>
    <w:p>
      <w:r>
        <w:t>1. Взять небольшое количество образца масла (примерно 1 каплю).</w:t>
      </w:r>
    </w:p>
    <w:p>
      <w:r>
        <w:t>2. При анализе твердых продуктов измельчить образец до порошка.</w:t>
      </w:r>
    </w:p>
    <w:p>
      <w:r>
        <w:t>3. Убедиться, что поверхность ATR‑кристалла чистая.</w:t>
      </w:r>
    </w:p>
    <w:p/>
    <w:p>
      <w:r>
        <w:t>Порядок работы с прибором:</w:t>
      </w:r>
    </w:p>
    <w:p>
      <w:r>
        <w:t>1. Нажать кнопку POWER для включения спектрофотометра.</w:t>
      </w:r>
    </w:p>
    <w:p>
      <w:r>
        <w:t>2. Запустить программное обеспечение LabSolutions IR на компьютере.</w:t>
      </w:r>
    </w:p>
    <w:p>
      <w:r>
        <w:t>3. Выбрать режим измерения ATR.</w:t>
      </w:r>
    </w:p>
    <w:p/>
    <w:p>
      <w:r>
        <w:t>Калибровка прибора:</w:t>
      </w:r>
    </w:p>
    <w:p>
      <w:r>
        <w:t>1. Убедиться, что на кристалле нет образца.</w:t>
      </w:r>
    </w:p>
    <w:p>
      <w:r>
        <w:t>2. Нажать кнопку BACKGROUND.</w:t>
      </w:r>
    </w:p>
    <w:p>
      <w:r>
        <w:t>3. Дождаться записи фонового спектра.</w:t>
      </w:r>
    </w:p>
    <w:p/>
    <w:p>
      <w:r>
        <w:t>Проведение анализа:</w:t>
      </w:r>
    </w:p>
    <w:p>
      <w:r>
        <w:t>1. Поместить каплю образца на ATR‑кристалл.</w:t>
      </w:r>
    </w:p>
    <w:p>
      <w:r>
        <w:t>2. Прижать образец прижимным механизмом.</w:t>
      </w:r>
    </w:p>
    <w:p>
      <w:r>
        <w:t>3. Нажать кнопку MEASURE.</w:t>
      </w:r>
    </w:p>
    <w:p>
      <w:r>
        <w:t>4. Дождаться окончания сканирования.</w:t>
      </w:r>
    </w:p>
    <w:p/>
    <w:p>
      <w:r>
        <w:t>Получение результата:</w:t>
      </w:r>
    </w:p>
    <w:p>
      <w:r>
        <w:t>1. На экране появится инфракрасный спектр.</w:t>
      </w:r>
    </w:p>
    <w:p>
      <w:r>
        <w:t>2. Сравнить спектр с библиотекой спектров.</w:t>
      </w:r>
    </w:p>
    <w:p>
      <w:r>
        <w:t>3. Сохранить результат в базе данных лаборатории.</w:t>
      </w:r>
    </w:p>
    <w:p>
      <w:pPr>
        <w:pStyle w:val="Heading1"/>
      </w:pPr>
      <w:r>
        <w:t>Ультразвуковой аппарат Sonopuls mini20</w:t>
      </w:r>
    </w:p>
    <w:p>
      <w:r>
        <w:t>Назначение:</w:t>
      </w:r>
    </w:p>
    <w:p>
      <w:r>
        <w:t>Экстракция веществ из пищевых продуктов с использованием ультразвука.</w:t>
      </w:r>
    </w:p>
    <w:p/>
    <w:p>
      <w:r>
        <w:t>Типичный анализ:</w:t>
      </w:r>
    </w:p>
    <w:p>
      <w:r>
        <w:t>Экстракция антиоксидантов из фруктов и овощей.</w:t>
      </w:r>
    </w:p>
    <w:p/>
    <w:p>
      <w:r>
        <w:t>Пробоподготовка:</w:t>
      </w:r>
    </w:p>
    <w:p>
      <w:r>
        <w:t>1. Взвесить 5.000 г измельченного образца.</w:t>
      </w:r>
    </w:p>
    <w:p>
      <w:r>
        <w:t>2. Поместить образец в лабораторный стакан объемом 100 мл.</w:t>
      </w:r>
    </w:p>
    <w:p>
      <w:r>
        <w:t>3. Добавить 50 мл растворителя (например этанола).</w:t>
      </w:r>
    </w:p>
    <w:p/>
    <w:p>
      <w:r>
        <w:t>Порядок работы с прибором:</w:t>
      </w:r>
    </w:p>
    <w:p>
      <w:r>
        <w:t>1. Подключить прибор к электросети.</w:t>
      </w:r>
    </w:p>
    <w:p>
      <w:r>
        <w:t>2. Нажать кнопку POWER.</w:t>
      </w:r>
    </w:p>
    <w:p>
      <w:r>
        <w:t>3. Опустить ультразвуковой зонд в раствор.</w:t>
      </w:r>
    </w:p>
    <w:p/>
    <w:p>
      <w:r>
        <w:t>Настройка режима:</w:t>
      </w:r>
    </w:p>
    <w:p>
      <w:r>
        <w:t>1. Установить мощность ультразвука 50 %.</w:t>
      </w:r>
    </w:p>
    <w:p>
      <w:r>
        <w:t>2. Установить время обработки 5 минут.</w:t>
      </w:r>
    </w:p>
    <w:p/>
    <w:p>
      <w:r>
        <w:t>Проведение экстракции:</w:t>
      </w:r>
    </w:p>
    <w:p>
      <w:r>
        <w:t>1. Нажать кнопку START.</w:t>
      </w:r>
    </w:p>
    <w:p>
      <w:r>
        <w:t>2. Проводить ультразвуковую обработку в течение 5 минут.</w:t>
      </w:r>
    </w:p>
    <w:p/>
    <w:p>
      <w:r>
        <w:t>Завершение работы:</w:t>
      </w:r>
    </w:p>
    <w:p>
      <w:r>
        <w:t>1. Нажать кнопку STOP.</w:t>
      </w:r>
    </w:p>
    <w:p>
      <w:r>
        <w:t>2. Извлечь зонд из раствора.</w:t>
      </w:r>
    </w:p>
    <w:p>
      <w:r>
        <w:t>3. Отфильтровать раствор через фильтр.</w:t>
      </w:r>
    </w:p>
    <w:p>
      <w:r>
        <w:t>4. Использовать экстракт для дальнейшего анализа.</w:t>
      </w:r>
    </w:p>
    <w:p>
      <w:pPr>
        <w:pStyle w:val="Heading1"/>
      </w:pPr>
      <w:r>
        <w:t>Колбонагреватель LTH 500</w:t>
      </w:r>
    </w:p>
    <w:p>
      <w:r>
        <w:t>Назначение:</w:t>
      </w:r>
    </w:p>
    <w:p>
      <w:r>
        <w:t>Нагрев реакционных смесей в круглодонных колбах при проведении химических реакций.</w:t>
      </w:r>
    </w:p>
    <w:p/>
    <w:p>
      <w:r>
        <w:t>Типичный анализ:</w:t>
      </w:r>
    </w:p>
    <w:p>
      <w:r>
        <w:t>Гидролиз белков или подготовка образцов перед анализом.</w:t>
      </w:r>
    </w:p>
    <w:p/>
    <w:p>
      <w:r>
        <w:t>Пробоподготовка:</w:t>
      </w:r>
    </w:p>
    <w:p>
      <w:r>
        <w:t>1. Подготовить реакционную смесь в круглодонной колбе объемом 250 мл.</w:t>
      </w:r>
    </w:p>
    <w:p>
      <w:r>
        <w:t>2. Объем раствора не должен превышать 2/3 объема колбы.</w:t>
      </w:r>
    </w:p>
    <w:p/>
    <w:p>
      <w:r>
        <w:t>Порядок работы с прибором:</w:t>
      </w:r>
    </w:p>
    <w:p>
      <w:r>
        <w:t>1. Установить колбу в нагревательную чашу.</w:t>
      </w:r>
    </w:p>
    <w:p>
      <w:r>
        <w:t>2. Подключить прибор к электросети.</w:t>
      </w:r>
    </w:p>
    <w:p>
      <w:r>
        <w:t>3. Нажать кнопку POWER.</w:t>
      </w:r>
    </w:p>
    <w:p/>
    <w:p>
      <w:r>
        <w:t>Настройка температуры:</w:t>
      </w:r>
    </w:p>
    <w:p>
      <w:r>
        <w:t>1. Повернуть регулятор нагрева.</w:t>
      </w:r>
    </w:p>
    <w:p>
      <w:r>
        <w:t>2. Установить температуру примерно 150 °C.</w:t>
      </w:r>
    </w:p>
    <w:p/>
    <w:p>
      <w:r>
        <w:t>Проведение реакции:</w:t>
      </w:r>
    </w:p>
    <w:p>
      <w:r>
        <w:t>1. Нагревать смесь до начала реакции.</w:t>
      </w:r>
    </w:p>
    <w:p>
      <w:r>
        <w:t>2. Поддерживать нагрев в течение необходимого времени.</w:t>
      </w:r>
    </w:p>
    <w:p/>
    <w:p>
      <w:r>
        <w:t>Завершение работы:</w:t>
      </w:r>
    </w:p>
    <w:p>
      <w:r>
        <w:t>1. Выключить прибор кнопкой POWER.</w:t>
      </w:r>
    </w:p>
    <w:p>
      <w:r>
        <w:t>2. Дать колбе остыть.</w:t>
      </w:r>
    </w:p>
    <w:p>
      <w:r>
        <w:t>3. Извлечь колбу из нагревателя.</w:t>
      </w:r>
    </w:p>
    <w:p>
      <w:pPr>
        <w:pStyle w:val="Heading1"/>
      </w:pPr>
      <w:r>
        <w:t>Вытяжной шкаф ШВЛ‑0,5.5</w:t>
      </w:r>
    </w:p>
    <w:p>
      <w:r>
        <w:t>Назначение:</w:t>
      </w:r>
    </w:p>
    <w:p>
      <w:r>
        <w:t>Обеспечение безопасной работы с летучими и токсичными химическими веществами.</w:t>
      </w:r>
    </w:p>
    <w:p/>
    <w:p>
      <w:r>
        <w:t>Типичный анализ:</w:t>
      </w:r>
    </w:p>
    <w:p>
      <w:r>
        <w:t>Работа с органическими растворителями при экстракции жиров.</w:t>
      </w:r>
    </w:p>
    <w:p/>
    <w:p>
      <w:r>
        <w:t>Подготовка шкафа:</w:t>
      </w:r>
    </w:p>
    <w:p>
      <w:r>
        <w:t>1. Проверить исправность вентиляционной системы.</w:t>
      </w:r>
    </w:p>
    <w:p>
      <w:r>
        <w:t>2. Поднять защитное стекло до рабочего положения.</w:t>
      </w:r>
    </w:p>
    <w:p/>
    <w:p>
      <w:r>
        <w:t>Порядок работы:</w:t>
      </w:r>
    </w:p>
    <w:p>
      <w:r>
        <w:t>1. Нажать кнопку включения вентиляции.</w:t>
      </w:r>
    </w:p>
    <w:p>
      <w:r>
        <w:t>2. Дождаться начала работы вытяжки.</w:t>
      </w:r>
    </w:p>
    <w:p>
      <w:r>
        <w:t>3. Поместить реакционные сосуды внутрь рабочей камеры.</w:t>
      </w:r>
    </w:p>
    <w:p/>
    <w:p>
      <w:r>
        <w:t>Проведение работы:</w:t>
      </w:r>
    </w:p>
    <w:p>
      <w:r>
        <w:t>1. Все операции с растворителями выполнять внутри шкафа.</w:t>
      </w:r>
    </w:p>
    <w:p>
      <w:r>
        <w:t>2. Не размещать оборудование ближе 10 см к переднему краю.</w:t>
      </w:r>
    </w:p>
    <w:p/>
    <w:p>
      <w:r>
        <w:t>Завершение работы:</w:t>
      </w:r>
    </w:p>
    <w:p>
      <w:r>
        <w:t>1. Удалить все реактивы.</w:t>
      </w:r>
    </w:p>
    <w:p>
      <w:r>
        <w:t>2. Протереть рабочую поверхность.</w:t>
      </w:r>
    </w:p>
    <w:p>
      <w:r>
        <w:t>3. Выключить вентиляцию.</w:t>
      </w:r>
    </w:p>
    <w:p>
      <w:pPr>
        <w:pStyle w:val="Heading1"/>
      </w:pPr>
      <w:r>
        <w:t>Термоциклер Bio‑Rad C1000</w:t>
      </w:r>
    </w:p>
    <w:p>
      <w:r>
        <w:t>Назначение:</w:t>
      </w:r>
    </w:p>
    <w:p>
      <w:r>
        <w:t>Амплификация ДНК методом полимеразной цепной реакции.</w:t>
      </w:r>
    </w:p>
    <w:p/>
    <w:p>
      <w:r>
        <w:t>Типичный анализ:</w:t>
      </w:r>
    </w:p>
    <w:p>
      <w:r>
        <w:t>Подготовка ДНК перед последующим анализом на системе Real‑Time PCR.</w:t>
      </w:r>
    </w:p>
    <w:p/>
    <w:p>
      <w:r>
        <w:t>Подготовка реакционной смеси:</w:t>
      </w:r>
    </w:p>
    <w:p>
      <w:r>
        <w:t>1. Подготовить смесь объемом 25 µl.</w:t>
      </w:r>
    </w:p>
    <w:p>
      <w:r>
        <w:t>2. В состав смеси входят буфер, праймеры, ДНК и полимераза.</w:t>
      </w:r>
    </w:p>
    <w:p/>
    <w:p>
      <w:r>
        <w:t>Порядок работы с прибором:</w:t>
      </w:r>
    </w:p>
    <w:p>
      <w:r>
        <w:t>1. Нажать кнопку POWER.</w:t>
      </w:r>
    </w:p>
    <w:p>
      <w:r>
        <w:t>2. Открыть крышку термоциклерного блока.</w:t>
      </w:r>
    </w:p>
    <w:p/>
    <w:p>
      <w:r>
        <w:t>Загрузка проб:</w:t>
      </w:r>
    </w:p>
    <w:p>
      <w:r>
        <w:t>1. Поместить пробирки с реакционной смесью в блок.</w:t>
      </w:r>
    </w:p>
    <w:p>
      <w:r>
        <w:t>2. Закрыть крышку.</w:t>
      </w:r>
    </w:p>
    <w:p/>
    <w:p>
      <w:r>
        <w:t>Настройка программы:</w:t>
      </w:r>
    </w:p>
    <w:p>
      <w:r>
        <w:t>1. Выбрать режим PCR.</w:t>
      </w:r>
    </w:p>
    <w:p>
      <w:r>
        <w:t>2. Установить температурный профиль:</w:t>
      </w:r>
    </w:p>
    <w:p>
      <w:r>
        <w:t xml:space="preserve">   95 °C – 3 минуты</w:t>
      </w:r>
    </w:p>
    <w:p>
      <w:r>
        <w:t xml:space="preserve">   95 °C – 15 секунд</w:t>
      </w:r>
    </w:p>
    <w:p>
      <w:r>
        <w:t xml:space="preserve">   60 °C – 30 секунд</w:t>
      </w:r>
    </w:p>
    <w:p>
      <w:r>
        <w:t xml:space="preserve">   72 °C – 30 секунд</w:t>
      </w:r>
    </w:p>
    <w:p/>
    <w:p>
      <w:r>
        <w:t>Количество циклов:</w:t>
      </w:r>
    </w:p>
    <w:p>
      <w:r>
        <w:t>40.</w:t>
      </w:r>
    </w:p>
    <w:p/>
    <w:p>
      <w:r>
        <w:t>Проведение анализа:</w:t>
      </w:r>
    </w:p>
    <w:p>
      <w:r>
        <w:t>1. Нажать кнопку RUN.</w:t>
      </w:r>
    </w:p>
    <w:p>
      <w:r>
        <w:t>2. Дождаться завершения программы.</w:t>
      </w:r>
    </w:p>
    <w:p/>
    <w:p>
      <w:r>
        <w:t>Завершение:</w:t>
      </w:r>
    </w:p>
    <w:p>
      <w:r>
        <w:t>1. Извлечь пробирки.</w:t>
      </w:r>
    </w:p>
    <w:p>
      <w:r>
        <w:t>2. Использовать продукты ПЦР для дальнейшего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