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rFonts w:ascii="Arial" w:hAnsi="Arial"/>
          <w:b/>
          <w:color w:val="2E5A87"/>
          <w:sz w:val="26"/>
        </w:rPr>
        <w:t>ИНВЕСТИЦИОНЕН ПРОЕКТ (концепция)</w:t>
      </w:r>
    </w:p>
    <w:p>
      <w:pPr>
        <w:spacing w:before="200"/>
        <w:jc w:val="center"/>
      </w:pPr>
      <w:r>
        <w:rPr>
          <w:rFonts w:ascii="Arial" w:hAnsi="Arial"/>
          <w:b/>
          <w:color w:val="1F4E79"/>
          <w:sz w:val="52"/>
        </w:rPr>
        <w:t>Птицеферма за 30 000 кокошки носачки</w:t>
      </w:r>
    </w:p>
    <w:p>
      <w:pPr>
        <w:jc w:val="center"/>
      </w:pPr>
      <w:r>
        <w:rPr>
          <w:rFonts w:ascii="Arial" w:hAnsi="Arial"/>
          <w:color w:val="444444"/>
          <w:sz w:val="30"/>
        </w:rPr>
        <w:t>Свободно отглеждане · яйце категория 1 (код „1“)</w:t>
      </w:r>
    </w:p>
    <w:p>
      <w:pPr>
        <w:jc w:val="center"/>
      </w:pPr>
      <w:r>
        <w:rPr>
          <w:rFonts w:ascii="Arial" w:hAnsi="Arial"/>
          <w:color w:val="444444"/>
          <w:sz w:val="24"/>
        </w:rPr>
        <w:t>България · съобразено с българското и европейското законодателство</w:t>
      </w:r>
    </w:p>
    <w:p>
      <w:pPr>
        <w:spacing w:after="3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11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6520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Капацитет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30 000 носачки (препоръка: 2 халета × 15 000)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Система / код на яйцето</w:t>
            </w:r>
          </w:p>
        </w:tc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Свободно отглеждане (free-range) · код „1“</w:t>
            </w:r>
          </w:p>
        </w:tc>
      </w:tr>
      <w:tr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Хибрид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Lohmann Brown-Classic (кафяв)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Изгон (норма)</w:t>
            </w:r>
          </w:p>
        </w:tc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≤ 2 500 носачки/ha (4 m²/носачка) → мин. 12 ha</w:t>
            </w:r>
          </w:p>
        </w:tc>
      </w:tr>
      <w:tr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Вътрешна гъстота (норма)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≤ 9 носачки/m² използваема площ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Халета (размери)</w:t>
            </w:r>
          </w:p>
        </w:tc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2 × 18 × 90 m ≈ 1 620 m²/хале (волиера)</w:t>
            </w:r>
          </w:p>
        </w:tc>
      </w:tr>
      <w:tr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Площ на парцела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ориентировъчно ~15–18 ha (≈605 × ≈300 m)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Индикативен CAPEX</w:t>
            </w:r>
          </w:p>
        </w:tc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~2,5–3,0 млн. € (при субсидия 50 % → нето ~1,3–1,7 млн. €)</w:t>
            </w:r>
          </w:p>
        </w:tc>
      </w:tr>
      <w:tr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Индикативен оборот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~2,2–2,6 млн. €/год.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Дата</w:t>
            </w:r>
          </w:p>
        </w:tc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20"/>
              </w:rPr>
              <w:t>31 май 2026 г.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/>
          <w:color w:val="666666"/>
          <w:sz w:val="17"/>
        </w:rPr>
        <w:t>Документът е инженерно-проектантска и нормативна концепция със справочен характер. Той НЕ замества заверен инвестиционен проект (части Технологична, Архитектура, Конструкции, ОВК, ВиК, Електро) или официално становище на ОДБХ/РИОСВ. Нормативните стойности, цени и субсидии са проверени на живо към 31.05.2026 г. и подлежат на потвърждение преди реализация.</w:t>
      </w:r>
    </w:p>
    <w:p>
      <w:r>
        <w:br/>
      </w:r>
    </w:p>
    <w:p>
      <w:pPr>
        <w:pStyle w:val="Heading1"/>
      </w:pPr>
      <w:r>
        <w:t>Съдържание</w:t>
      </w:r>
    </w:p>
    <w:p>
      <w:fldSimple w:instr="TOC \o &quot;1-3&quot; \h \z \u">
        <w:r>
          <w:t>Съдържанието се генерира автоматично — десен бутон → „Актуализиране на поле“ (Update Field).</w:t>
        </w:r>
      </w:fldSimple>
    </w:p>
    <w:p>
      <w:r>
        <w:br/>
      </w:r>
    </w:p>
    <w:p>
      <w:pPr>
        <w:pStyle w:val="Heading1"/>
      </w:pPr>
      <w:r>
        <w:t>1. Резюме на проекта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Проектът обхваща изграждането на промишлена ферма за производство на консумативни яйца от тип „свободно отглеждане“ (категория 1), с капацитет 30 000 кокошки носачки, на земеделски парцел в България. Изборът на система (free-range) определя цялата технология: гъстота, оборудване, архитектура и кода на яйцето. Препоръчителната конфигурация е две независими халета по 15 000 носачки (две епизоотични единици), със стагирано зареждане за непрекъснато предлагане на яйца.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Ключово оразмеряващо ограничение е НЕ халето, а изгонът: при ≤ 2 500 носачки/ha (4 m²/носачка) за 30 000 птици са нужни минимум 12 ha открита площ. Парцелът (~15–18 ha) е достатъчен, но без съществен излишък — затова точната площ се потвърждава с геодезично заснемане.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Хибрид: Lohmann Brown-Classic — кафяво яйце, персистентност до 100 седмици, черупка &gt; 40 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Юници: купуват се готови за носене (16–18 седмици), волиерно отгледани, ваксинирани срещу салмонела (SE).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Производство: пик ~27 000 яйца/ден; ~7,5 млн. продаваеми яйца/год.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Фураж ~1 314 t/год.; вода ~7,5 → 18 m³/ден (лято); тор ~1 920 t/год. (~24 t N).</w:t>
      </w:r>
    </w:p>
    <w:p>
      <w:pPr>
        <w:pStyle w:val="Heading1"/>
      </w:pPr>
      <w:r>
        <w:t>2. Входни параметри и допускания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Зададено от възложителя: 30 000 носачки; яйце тип 1 (свободно отглеждане по кода 0/1/2/3); конкретен парцел (с размери от заснемане); съответствие с БГ + ЕС право.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Допускания на проектанта (подлежат на потвърждение):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Конфигурация 2 халета × 15 000 (вместо едно от 30 000) — две епизоотични единици, по-добра биосигурност и използване на изгона, стагирано зареждане за непрекъснато предлагане.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Юниците се купуват готови за носене (POL, 16–18 с.), волиерно/свободно отгледани, SE-ваксинирани.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Площ на парцела ~15–18 ha (дълга ос ~605 m, напречно ~300 m) — потвърждава се с геодезия.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Кафяв пазар (BG/Балкани) → кафяв хибрид. Бюджетен клас: индустриален, не „био“.</w:t>
      </w:r>
    </w:p>
    <w:p>
      <w:pPr>
        <w:pStyle w:val="Heading1"/>
      </w:pPr>
      <w:r>
        <w:t>3. Анализ на площадката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Размери от заснемането: дълга ос ≈ 605,20 m (деления 100–500 m), напречен размер ≈ 300 m → ориентировъчна площ ~15–18 ha. Формата е издължен паралелограм с дълга ос приблизително ЮЗ–СИ.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Достатъчност за 30 000 free-range: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Изгон (норма): 30 000 × 4 m²/носачка = 120 000 m² = 12,0 ha.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Сгради + двор + пътища + буфер + ротация: ~3–4 ha.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Минимална нетна нужда от терен: ~15–16 ha → парцелът е достатъчен, без съществен излишък.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Ориентация: препоръка дълга ос на халетата изток–запад (намалява слънчевото натоварване — критично за БГ лято); изгонът — на юг/изток. Тъй като дългата ос на парцела е ЮЗ–СИ, халетата може да се завъртят спрямо границата (компромис между ориентация и ефективно използване на терена).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9C5700"/>
                <w:sz w:val="19"/>
              </w:rPr>
              <w:t xml:space="preserve">ВНИМАНИЕ: </w:t>
            </w:r>
            <w:r>
              <w:rPr>
                <w:rFonts w:ascii="Arial" w:hAnsi="Arial"/>
                <w:sz w:val="19"/>
              </w:rPr>
              <w:t>Нови обекти за промишлено отглеждане на птици на открито трябва да са на ≥ 1 500 m от друг птицевъден обект и от регулацията на населено място (Наредба № 44/2006, изм. 2024–2025). Разстоянията за конкретната площадка се документират в проекта.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4. Разпределение на парцела (схема)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654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65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Схема 1. Примерно разпределение: 2 халета × 15 000 (18 × 90 m, волиера) с зимни градини; сондажът е в чиста зона (ЮЗ) в санитарно-охранителна зона (СОЗ), а торохранилището — в мръсна зона (СЗ) с отделен портал, на ~200 m от водата; два изгона по ≈6 ha (по 3 ротационни паркета) със заслони. Схематично — подлежи на геодезично заснемане.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Принципи на разпределението: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Поток „чисто → мръсно“: вход/санитарен филтър → производствени халета → технологична зона (грейдер/опаковане/хладен склад) → отделен „мръсен“ изход за тора и кадаврите.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Вода ↔ тор (хигиена): сондажът е в чиста зона (ЮЗ), в санитарно-охранителна зона (СОЗ, пояс I ограден ≥ 10 m; Наредба № 3/2000) и на ~200 m от торохранилището (норма мин. 50 m). Торохранилището е в мръсна зона (СЗ) с отделен портал, по посока на вятъра, далеч от водата и опаковането.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Компактно производствено ядро в ЮЗ края (до достъпа), за контролирана биосигурност на един вход.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Халетата централно, изгоните на юг и север от тях (едностранни изгони) — чисто разделение и равномерно използване на пасището.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Изгон ≈ 6 ha/хале, разделен на 3 ротационни паркета (почивка на тревата, контрол на паразити/нитрати); радиус ≤ 150 m от изходен отвор (до 350 m с ≥ 4 заслона/ha).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Периметрова ограда 1,80 m + електрическа жица; портал/КПП в ЮЗ края.</w:t>
      </w:r>
    </w:p>
    <w:p>
      <w:pPr>
        <w:pStyle w:val="Heading1"/>
      </w:pPr>
      <w:r>
        <w:t>5. Система за отглеждане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Решение: свободно отглеждане (код „1“) — алтернативна (неклетъчна) система + достъп до открито. Вътре се избира волиера (многоетажна): нивата увеличават използваемата площ → при ≤ 9 носачки/m² използваема отпечатъкът на сградата е значително по-малък, отколкото при подово.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Условия за изгон (Делегиран регламент (ЕС) 2023/2465, Приложение II — отменя Регл. 589/2008):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Непрекъснат дневен достъп до откритата площ.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Гъстота ≤ 2 500 кокошки/ha (4 m²/кокошка); при ротация — ≥ 2,5 m²/кокошка във всеки използван паркет.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Откритата площ предимно покрита с растителност.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Радиус ≤ 150 m от изходен отвор; до 350 m при ≥ 4 заслона/ha.</w:t>
      </w:r>
    </w:p>
    <w:p>
      <w:pPr>
        <w:spacing w:after="80"/>
      </w:pPr>
      <w:r>
        <w:rPr>
          <w:rFonts w:ascii="Arial" w:hAnsi="Arial"/>
          <w:b w:val="0"/>
          <w:i/>
          <w:sz w:val="19"/>
        </w:rPr>
        <w:t>Размерите на изходните отвори (35 × 40 cm; общо 2 m отвор/1000 кокошки) са от Наредба № 25/2005, Чл. 8(2) (хуманно отношение), а не от маркетинговия регламент.</w:t>
      </w:r>
    </w:p>
    <w:p>
      <w:pPr>
        <w:pStyle w:val="Heading1"/>
      </w:pPr>
      <w:r>
        <w:t>6. Стадо: хибрид, юници, цикъл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Препоръчителен хибрид: Lohmann Brown-Classic. Целеви (развъдни) показатели: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68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</w:t>
            </w:r>
          </w:p>
        </w:tc>
        <w:tc>
          <w:tcPr>
            <w:tcW w:type="dxa" w:w="5953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Стойност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Яйца/HH до 72 с.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323,8 (461,1 до 100 с.)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Пик на носливост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94–96 %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50 % носливост на възраст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140–145 дни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Средно яйчно тегло (72 с.)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63,7 g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Прием фураж (носливост)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110–120 g/ден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Фуражна конверсия (FCR)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2,0–2,2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Якост на черупката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&gt; 40 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Жизненост до 72 с.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95–96 %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Алтернативи: Hy-Line Brown (спокоен темперамент, пик до ~98 %), ISA Brown, Bovans Brown (добра черупка на пасище).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Юници: доставка на 16–18 седмици, готови за носене, волиерно отгледани, ваксинирани (SE салмонела + ND/IB + Marek + Gumboro + ILT + кокцидиоза). Подрязване на човки — само до 10-дневна възраст, от ветеринарен лекар/техник (Наредба № 25/2005, Чл. 6).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Производствен цикъл: настаняване 17–18 с. → носене от ~20 с. → край ~90 с. (≈ 13–14 месеца) → all-in/all-out → почистване/дезинфекция + сервизен период ~2–4 седмици → ново зареждане. Двете халета се зареждат с отместване ~7 месеца за непрекъснато предлагане.</w:t>
      </w:r>
    </w:p>
    <w:p>
      <w:pPr>
        <w:pStyle w:val="Heading1"/>
      </w:pPr>
      <w:r>
        <w:t>7. Оразмеряване на халетата (на 15 000 носачки)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Площ на животните (норма vs проект):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Норма ≤ 9 носачки/m² използваема площ → изискуема използваема площ = 15 000 ÷ 9 = 1 666,7 m² (мин.).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Волиера: използваема площ ≈ 2,0–2,2 × отпечатъка → теоретичен мин. отпечатък ≈ 800–835 m²/хале (при ~18 нос./m² под).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Проектно решение: зала ~18 m × 90 m = 1 620 m² отпечатък/хале → ~9,3 носачки/m² под (≈4,6/m² използваема при волиера; норма ≤ 9/m² използваема) → запас за хуманно отношение и за БГ лято. Тясно-дълъг габарит за тунелна вентилация.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Нормативни минимуми за оборудване (на 15 000 носачки):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Елемент</w:t>
            </w:r>
          </w:p>
        </w:tc>
        <w:tc>
          <w:tcPr>
            <w:tcW w:type="dxa" w:w="294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Норма</w:t>
            </w:r>
          </w:p>
        </w:tc>
        <w:tc>
          <w:tcPr>
            <w:tcW w:type="dxa" w:w="243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Изчисление</w:t>
            </w:r>
          </w:p>
        </w:tc>
        <w:tc>
          <w:tcPr>
            <w:tcW w:type="dxa" w:w="2551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Резултат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Хранилки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10 cm/птица (линейни)</w:t>
            </w:r>
          </w:p>
        </w:tc>
        <w:tc>
          <w:tcPr>
            <w:tcW w:type="dxa" w:w="243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× 0,10 m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1 500 m фронт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Поене (нипел)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 на 10 птици; ≥ 2 в обсег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÷ 10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1 500 нипела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Гнезда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групово ≥ 1 m²/120</w:t>
            </w:r>
          </w:p>
        </w:tc>
        <w:tc>
          <w:tcPr>
            <w:tcW w:type="dxa" w:w="243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÷ 120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125 m²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Кацалки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15 cm/птица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× 0,15 m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2 250 m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Постеля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250 cm²/птица; ≥ 1/3 от пода</w:t>
            </w:r>
          </w:p>
        </w:tc>
        <w:tc>
          <w:tcPr>
            <w:tcW w:type="dxa" w:w="243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× 0,025 m²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375 m²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Изходни отвори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 m/1000; всеки ≥ 35×40 cm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15 000 ÷ 1000 × 2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≥ 30 m (~75 бр.)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19"/>
        </w:rPr>
        <w:t>За 30 000 (две халета): фронт хранене ≥ 3 000 m; ≥ 3 000 нипела; ≥ 250 m² гнезда; ≥ 4 500 m кацалки; ≥ 750 m² постеля; ≥ 60 m изходни отвори.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Зимна градина (Kaltscharraum): покрита, ветрозащитена площ ~5 × 80 ≈ 400 m²/хале, достъпна през отворите — буфер при грип (птиците излизат „навън“ под покрив, когато открит изгон е забранен) и изискване на някои premium схеми.</w:t>
      </w:r>
    </w:p>
    <w:p>
      <w:pPr>
        <w:pStyle w:val="Heading1"/>
      </w:pPr>
      <w:r>
        <w:t>8. Спецификация на оборудването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Хранене: верижна или тръбно-чашкова хранилка с централно дозиране; фуражни силози отвън + шнеково подаване; дневни дажби по програма.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Поене: безкапкови нипелни поилки с чашка; 1 нипел/~8–10 птици; регулатори на налягане; промиване на линиите; дозатор за ваксини/медикаменти.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Гнезда: автоматични семейни/групови гнезда с наклонено дъно → яйцесъбираща лента.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Кацалки/нива: ≥ 15 cm/птица; до 4 нива, ≥ 45 cm между нивата.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Тор: тор-транспортни ленти с подсушаване с въздух → редовно извозване (BAT-техника — важно за бъдещия IED, виж раздел 13).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Осветление: автоматична програма с плавно димиране; фотопериод до 14 ч при пик; 3,5–4,0 W/m² с тъмнина ≥ 1/3 от денонощието.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Климатичен контролер + аларми + авариен генератор + гравитачни аварийни отвори (failsafe).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Биосигурност: санитарен филтър, дезинфекционни вани/арки, мрежи на отворите, контрол на гризачи, отделни инструменти по зони, колоосна дезинфекция.</w:t>
      </w:r>
    </w:p>
    <w:p>
      <w:pPr>
        <w:pStyle w:val="Heading1"/>
      </w:pPr>
      <w:r>
        <w:t>9. Вентилация и микроклимат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Система: тунелна вентилация (дълго тясно хале) + изпарително охлаждане (cooling pads / fogging) — задължително за БГ лято. Принцип на отрицателно налягане с регулируеми входни клапи.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Целеви параметри (Наредба № 25/2005, Чл. 4 + guide на хибрида): температура 15–25 °C; влажност 60–70 %; скорост на въздуха 0,2–0,3 m/s (зимен минимум); NH₃ &lt; 20 ppm; шум ≤ 80 dB.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Оразмеряване (окончателните дебити — в част ОВК):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Минимален (зимен) дебит ≈ 0,7–1,0 m³/h на kg жива маса → 15 000 × 2 kg → ~21 000–30 000 m³/h.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Максимален (летен) дебит ≈ 4–5 m³/h на птица → ~75 000 m³/h (на хале).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Брой тунелни вентилатори = макс. дебит ÷ дебит на вентилатор; със степенуване и резерв ~6–8 бр./хале.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CE4E4"/>
          </w:tcPr>
          <w:p>
            <w:r/>
            <w:r>
              <w:rPr>
                <w:rFonts w:ascii="Arial" w:hAnsi="Arial"/>
                <w:b/>
                <w:color w:val="9C5700"/>
                <w:sz w:val="19"/>
              </w:rPr>
              <w:t xml:space="preserve">КРИТИЧНО: </w:t>
            </w:r>
            <w:r>
              <w:rPr>
                <w:rFonts w:ascii="Arial" w:hAnsi="Arial"/>
                <w:sz w:val="19"/>
              </w:rPr>
              <w:t>Загубата на вентилация в плътно населено хале е смъртоносна за часове. Задължителни са авариен генератор, степенно включване, гравитачни аварийни отвори при отказ на ток и алармена система.</w:t>
            </w:r>
          </w:p>
        </w:tc>
      </w:tr>
    </w:tbl>
    <w:p>
      <w:pPr>
        <w:spacing w:after="40"/>
      </w:pPr>
    </w:p>
    <w:p>
      <w:pPr>
        <w:pStyle w:val="Heading1"/>
      </w:pPr>
      <w:r>
        <w:t>10. Открита площ (изгон / пасище)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Норма: ≤ 2 500 носачки/ha (4 m²/носачка). На хале: 15 000 × 4 = 6,0 ha; общо (30 000): 12,0 ha.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Проект: 6 ha/хале, 2–4 ротационни паркета; при ротация ≥ 2,5 m²/носачка в използвания паркет.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Растителна покривка (трева/детелина); заслони/храсти/дървета за сянка и стимул за излизане.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Изходни отвори ≥ 30 m/хале → зимна градина → изгон; чакълена зона пред отворите (намалява окалването).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Ограда 1,80 m + електрическа жица (хищници, биосигурност).</w:t>
      </w:r>
    </w:p>
    <w:p>
      <w:pPr>
        <w:spacing w:after="80"/>
      </w:pPr>
      <w:r>
        <w:rPr>
          <w:rFonts w:ascii="Arial" w:hAnsi="Arial"/>
          <w:b w:val="0"/>
          <w:i/>
          <w:sz w:val="19"/>
        </w:rPr>
        <w:t>При заповед за затваряне заради грип птиците се прибират в халето + зимната градина; яйцето остава „тип 1“ за целия период на официалната забрана (2023/2465 — 16-седмичният лимит е премахнат).</w:t>
      </w:r>
    </w:p>
    <w:p>
      <w:pPr>
        <w:pStyle w:val="Heading1"/>
      </w:pPr>
      <w:r>
        <w:t>11. Хранене (фуражен план)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Свободното отглеждане изисква +15 % енергия спрямо клетки. Количества: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Прием ~120 g/носачка/ден → 30 000 × 0,120 = 3,6 t/ден × 365 = ~1 314 t фураж/год. (~657 t/хале).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Фазово хранене (готов комплексен фураж):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Параметър</w:t>
            </w:r>
          </w:p>
        </w:tc>
        <w:tc>
          <w:tcPr>
            <w:tcW w:type="dxa" w:w="226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Фаза 1 (19–45 с.)</w:t>
            </w:r>
          </w:p>
        </w:tc>
        <w:tc>
          <w:tcPr>
            <w:tcW w:type="dxa" w:w="226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Фаза 2 (46–65 с.)</w:t>
            </w:r>
          </w:p>
        </w:tc>
        <w:tc>
          <w:tcPr>
            <w:tcW w:type="dxa" w:w="226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Фаза 3 (от 65 с.)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ME (MJ/kg)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11,6–11,8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11,4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Суров протеин (%)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18,0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17,0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15,5–16,0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Метионин (%)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0,40–0,42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0,37–0,38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0,35–0,36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Калций (%)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3,5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3,7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4,0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Силози: 2 × ~12–15 t/хале (буфер ~1 седмица). Вода: 240–250 ml/носачка/ден → ~7,5 m³/ден (30 000); лято до ~18 m³/ден. Източник: сондаж + резервоар (запас ≥ 2 дни) + медикатор + флъш.</w:t>
      </w:r>
    </w:p>
    <w:p>
      <w:pPr>
        <w:pStyle w:val="Heading1"/>
      </w:pPr>
      <w:r>
        <w:t>12. Биосигурност и здраве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Зониране бяла/черна зона; санитарен филтър (душ/преобличане); контрол на достъпа; колоосна дезинфекция; мрежи срещу диви птици; ДДД; all-in/all-out + престой/почистване между цикли.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Грип (HPAI): способност за прибиране на закрито (зимна градина + мрежируеми отвори); спазване на сезонни заповеди на БАБХ; отстояние ≥ 1 500 m; зони 3/10 km при огнище.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Салмонела (Регл. 2160/2003, 1168/2006): целеви серовари S. Enteritidis + S. Typhimurium; самоконтрол на оператора на всеки 15 седмици + официален отбор от БАБХ ≥ 1 път/год.; SE-ваксинацията е стандарт/задължителна.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Кадаври: охлаждаем съд → обезвреждане като СЖП (рендеринг).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9C5700"/>
                <w:sz w:val="19"/>
              </w:rPr>
              <w:t xml:space="preserve">ВНИМАНИЕ: </w:t>
            </w:r>
            <w:r>
              <w:rPr>
                <w:rFonts w:ascii="Arial" w:hAnsi="Arial"/>
                <w:sz w:val="19"/>
              </w:rPr>
              <w:t>Положително стадо (S. Enteritidis/Typhimurium) → яйцата НЕ могат да се продават като клас А → унищожаване или термична обработка (яйчни продукти; де-факто клас B; Регл. 1237/2007).</w:t>
            </w:r>
          </w:p>
        </w:tc>
      </w:tr>
    </w:tbl>
    <w:p>
      <w:pPr>
        <w:spacing w:after="40"/>
      </w:pPr>
    </w:p>
    <w:p>
      <w:pPr>
        <w:pStyle w:val="Heading1"/>
      </w:pPr>
      <w:r>
        <w:t>13. Тор, емисии и съответствие (нитрати + IED)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Количества (30 000 носачки):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Пресен тор ~62–66 kg/носачка/год. → ~1 920 t/год.; сух (лента) ~22,3 kg → ~670 t/год.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Азот ~0,8 kg N/носачка/год. → ~24 t N/год.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Нитрати (max 170 kg N/ha): 24 000 ÷ 170 ≈ 141 ha за разпръскване → нужна собствена/договорна земя или продажба/износ на тор. Закрито торохранилище ≥ 6 месеца.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CE4E4"/>
          </w:tcPr>
          <w:p>
            <w:r/>
            <w:r>
              <w:rPr>
                <w:rFonts w:ascii="Arial" w:hAnsi="Arial"/>
                <w:b/>
                <w:color w:val="9C5700"/>
                <w:sz w:val="19"/>
              </w:rPr>
              <w:t xml:space="preserve">КРИТИЧНО (2030): </w:t>
            </w:r>
            <w:r>
              <w:rPr>
                <w:rFonts w:ascii="Arial" w:hAnsi="Arial"/>
                <w:sz w:val="19"/>
              </w:rPr>
              <w:t>IED / комплексно разрешително — ключов бъдещ риск. Сега 30 000 &lt; 40 000 места → БЕЗ КР. Но Дир. (ЕС) 2024/1785 сваля прага за носачки на ~21 400 места (300 LSU); транспозиция до 01.07.2026, прилагане от ~2030. → 30 000 ще изисква КР около 2030 г. Проектирай IED-/BAT-ready отсега (тор-ленти с подсушаване, добра вентилация, готовност за пречистване на въздуха; NH₃ BAT-AEL неклетъчно 0,02–0,13 kg/място/год.).</w:t>
            </w:r>
          </w:p>
        </w:tc>
      </w:tr>
    </w:tbl>
    <w:p>
      <w:pPr>
        <w:spacing w:after="40"/>
      </w:pPr>
    </w:p>
    <w:p>
      <w:pPr>
        <w:pStyle w:val="Heading1"/>
      </w:pPr>
      <w:r>
        <w:t>14. Яйца: събиране, сортиране, кодиране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Производство: пик ~27 000 яйца/ден (~900 кутии × 30); ~7,5 млн. продаваеми/год. (+ ~16 % вторична стока).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Линия: яйцесъбиращи ленти → грейдер (овоскопиране, тегловно сортиране S/M/L/XL, щампа на кода, опаковане) → хладен склад (клас А не под +5 °C).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Код на яйцето: 1-BG-XXXX (1 = свободно; BG; област 01–28; № на производителя от регистрите на ОДБХ).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Срокове: сортиране/маркиране/опаковане ≤ 10 дни; минимална трайност ≤ 28 дни. Опаковъчен център — регистрация по Наредба № 1/2008.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Тегловни класове А: XL ≥ 73 g · L 63–&lt;73 · M 53–&lt;63 · S &lt; 53 g.</w:t>
      </w:r>
    </w:p>
    <w:p>
      <w:pPr>
        <w:pStyle w:val="Heading1"/>
      </w:pPr>
      <w:r>
        <w:t>15. Нормативен маршрут (разрешителен конвейер)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6236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Стъпка</w:t>
            </w:r>
          </w:p>
        </w:tc>
        <w:tc>
          <w:tcPr>
            <w:tcW w:type="dxa" w:w="283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Орган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Геодезия; промяна на предназначението / ПУП-ПЗ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Община, ОДЗ, Комисия земеделски земи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Преценка за необходимост от ОВОС + оценка за съвместимост (Натура 2000)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РИОСВ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Инвестиционен проект (Технолог., Архитектура, Конструкции, ОВК, ВиК, Ел, ПБЗ, ПУСО, Пожарна)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Проектант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Разрешение за строеж + съгласувания (ВиК, ЕРП, Пожарна, РЗИ)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Гл. архитект на общината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Разрешително за водовземане (сондаж)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Басейнова дирекция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Акт 15/16 → Разрешение за ползване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ДНСК / общината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Регистрация на животновъден обект (чл. 137 ЗВД) + биосигурност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ОДБХ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Регистрация на опаковъчен център + код на производителя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ОДБХ / БАБХ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План за управление на тора (нитрати)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Трудова безопасност; пожарна; HACCP за опаковане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ИА ГИТ, ПБЗН, БАБХ</w:t>
            </w:r>
          </w:p>
        </w:tc>
      </w:tr>
    </w:tbl>
    <w:p>
      <w:pPr>
        <w:spacing w:after="40"/>
      </w:pPr>
    </w:p>
    <w:p>
      <w:pPr>
        <w:pStyle w:val="Heading1"/>
      </w:pPr>
      <w:r>
        <w:t>16. Икономика (индикативно, 2026, €)</w:t>
      </w:r>
    </w:p>
    <w:p>
      <w:pPr>
        <w:spacing w:after="80"/>
      </w:pPr>
      <w:r>
        <w:rPr>
          <w:rFonts w:ascii="Arial" w:hAnsi="Arial"/>
          <w:b w:val="0"/>
          <w:i/>
          <w:sz w:val="19"/>
        </w:rPr>
        <w:t>Груба оценка за порядък на величините — не заместител на бизнес план. Базови съотношения от учебника (немски, 2012–2015); цените са актуализирани на живо за BG 2026 (НСИ, ДФЗ, EC). Препоръчва се пълен модел в Excel.</w:t>
      </w:r>
    </w:p>
    <w:p>
      <w:pPr>
        <w:pStyle w:val="Heading2"/>
      </w:pPr>
      <w:r>
        <w:t>16.1 CAPEX (инвестиция, без земя)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6520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3118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Оценка (€)</w:t>
            </w:r>
          </w:p>
        </w:tc>
      </w:tr>
      <w:tr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Халета + волиерно оборудване (2 × 15 000)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1 500 000 – 1 950 000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Зимни градини, отвори, ограда на изгона (12 ha) + заслони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60 000 – 120 000</w:t>
            </w:r>
          </w:p>
        </w:tc>
      </w:tr>
      <w:tr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Опаковъчен център (грейдер + хладен склад)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150 000 – 300 000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Закрито торохранилище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80 000 – 150 000</w:t>
            </w:r>
          </w:p>
        </w:tc>
      </w:tr>
      <w:tr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Сондаж + вода + резервоари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20 000 – 40 000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Ел. присъединяване, генератор, пътища, филтър, кантар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150 000 – 250 000</w:t>
            </w:r>
          </w:p>
        </w:tc>
      </w:tr>
      <w:tr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Площадкови работи, проектиране, ОВОС, такси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100 000 – 200 000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ОБЩО CAPEX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~2,1 – 3,0 млн. € (целеви ~2,5–3,0)</w:t>
            </w:r>
          </w:p>
        </w:tc>
      </w:tr>
    </w:tbl>
    <w:p>
      <w:pPr>
        <w:spacing w:after="40"/>
      </w:pPr>
    </w:p>
    <w:p>
      <w:pPr>
        <w:pStyle w:val="Heading2"/>
      </w:pPr>
      <w:r>
        <w:t>16.2 OPEX (годишно)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Позиция</w:t>
            </w:r>
          </w:p>
        </w:tc>
        <w:tc>
          <w:tcPr>
            <w:tcW w:type="dxa" w:w="283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 (€/год.)</w:t>
            </w:r>
          </w:p>
        </w:tc>
        <w:tc>
          <w:tcPr>
            <w:tcW w:type="dxa" w:w="3402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Основа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Фураж (доминиращ)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~525 000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1 314 t × ~400 €/t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Юници (ремонт)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~165 000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6,5 €/брой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Труд (3–4 FTE + управление)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50 000 – 80 000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мин. заплата 2026 ~620 €/мес.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Енергия + вода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30 000 – 50 000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ел. ~0,20 лв/kWh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Ветеринар/ваксини/хигиена/постеля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60 000 – 100 000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вкл. салмонела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Опаковки + сортиране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30 000 – 45 000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~0,4–0,6 ct/яйце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ОБЩО OPEX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~0,85 – 0,95 млн. €/год.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16.3 Приходи (годишно) и резултат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Позиция</w:t>
            </w:r>
          </w:p>
        </w:tc>
        <w:tc>
          <w:tcPr>
            <w:tcW w:type="dxa" w:w="283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 (€/год.)</w:t>
            </w:r>
          </w:p>
        </w:tc>
        <w:tc>
          <w:tcPr>
            <w:tcW w:type="dxa" w:w="3402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Основа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Яйца (продаваеми)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~2 025 000 – 2 400 000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7,5 млн. × 0,27–0,32 €/яйце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Вторична стока (B)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~120 000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~1,2 млн. × ~0,10 €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Изхабени носачки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~7 500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~0,3 €/птица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Тор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8 000 – 31 000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или разходен фактор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Субсидия „хуманно отношение“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30 000 – 90 000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102,72 €/ЖЕ; Мярка А (фураж)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ОБЩО приходи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~2,2 – 2,6 млн. €/год.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Брутен марж (приходи − OPEX) ≈ ~1,3–1,5 млн. €/год. (преди амортизация/финансиране). Амортизация (хале 20 г.; оборудване 10 г.) ≈ 150 000–200 000 €/год.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Инвестиционна субсидия — Стратегически план 2023–2027, интервенция II.Г.1 „Инвестиции в земеделските стопанства“: 50 % базово (до 65 % за млад фермер/планински район); покривен фотоволтаик допустим. При 50 % субсидия → нето CAPEX ~1,3–1,7 млн. € → ориентировъчен прост период на изплащане ~2–4 години при текущите маржове. Без обвързана подкрепа за яйца.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9C5700"/>
                <w:sz w:val="19"/>
              </w:rPr>
              <w:t xml:space="preserve">ВНИМАНИЕ: </w:t>
            </w:r>
            <w:r>
              <w:rPr>
                <w:rFonts w:ascii="Arial" w:hAnsi="Arial"/>
                <w:sz w:val="19"/>
              </w:rPr>
              <w:t>Доминиращ риск: цената на яйцето и фуража. При +/− 1 €/dt фураж → ~0,43 €/носачка/год.; при +/− 10 яйца/носачка → ~0,75 €/носачка/год. Egg-цената е волатилна — моделирай с консервативен сценарий.</w:t>
            </w:r>
          </w:p>
        </w:tc>
      </w:tr>
    </w:tbl>
    <w:p>
      <w:pPr>
        <w:spacing w:after="40"/>
      </w:pPr>
    </w:p>
    <w:p>
      <w:pPr>
        <w:pStyle w:val="Heading1"/>
      </w:pPr>
      <w:r>
        <w:t>17. Времеви график (ориентир)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1701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5102"/>
            <w:shd w:val="clear" w:color="auto" w:fill="2E5A8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Дейности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Проектиране + разрешителни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9–15 мес.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геодезия, ОВОС-преценка, ПУП, проект, строеж, водовземане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Строителство + монтаж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8–12 мес.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халета, волиера, опаковъчен център, торохранилище, ограда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Зареждане + рампа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2–4 мес.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регистрация ОДБХ, юници 17–18 с., носене от ~20 с.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 първи яйца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~20–30 мес.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(стагирано второ хале ~7 мес. по-късно)</w:t>
            </w:r>
          </w:p>
        </w:tc>
      </w:tr>
    </w:tbl>
    <w:p>
      <w:pPr>
        <w:spacing w:after="40"/>
      </w:pPr>
    </w:p>
    <w:p>
      <w:pPr>
        <w:pStyle w:val="Heading1"/>
      </w:pPr>
      <w:r>
        <w:t>18. Рискове и препоръки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IED 2030 (Дир. 2024/1785): 30 000 ще надхвърли новия праг (21 400) → строй IED/BAT-ready.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Отстояние ≥ 1 500 m от други птицеферми/населено място — потвърди за площадката.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Грип/затваряне: зимна градина + мрежируеми отвори; яйцето остава тип 1 при официална забрана.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Салмонела: SE-ваксинация + самоконтрол на 15 с.; положително стадо → загуба на клас А.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Тор: осигури ~141 ha за разпръскване или договори/износ.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Изгон = оразмеряващо ограничение (12 ha) — потвърди площта с геодезия.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Цена на яйцето/фуража — основен икономически риск; моделирай консервативно.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Потвърди допусканията: конфигурация (2×15 000 vs 1×30 000), произход на юниците, точна площ.</w:t>
      </w:r>
    </w:p>
    <w:p>
      <w:pPr>
        <w:pStyle w:val="Heading1"/>
      </w:pPr>
      <w:r>
        <w:t>19. Източници и бележки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Нормативни и пазарни стойности — проверени на живо към 31.05.2026 г.: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Делегиран регл. (ЕС) 2023/2465 (отменя 589/2008) — eur-lex.europa.eu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Дир. 1999/74/ЕО; Наредба № 25/2005, 44/2006, 1/2008; чл. 137 ЗВД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IED Дир. 2010/75/ЕС + Дир. (ЕС) 2024/1785 (нов праг 300 LSU)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Регл. 2160/2003, 1168/2006, 1237/2007 (салмонела); БАБХ национална програма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EC Egg Market Observatory; НСИ (цени на земя/ел.); ДФЗ (II.Г.1; хуманно отношение)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Management guide Lohmann Brown-Classic; учебник Damme &amp; Hildebrand 2015</w:t>
      </w:r>
    </w:p>
    <w:p>
      <w:pPr>
        <w:spacing w:after="80"/>
      </w:pPr>
      <w:r>
        <w:rPr>
          <w:rFonts w:ascii="Arial" w:hAnsi="Arial"/>
          <w:b w:val="0"/>
          <w:i/>
          <w:color w:val="666666"/>
          <w:sz w:val="18"/>
        </w:rPr>
        <w:t>Документът е изготвен като концепция и справочна основа. За реализация са задължителни заверен проект и предварително съгласуване с ОДБХ и РИОСВ.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Стр. </w:t>
    </w:r>
    <w:fldSimple w:instr="PAGE">
      <w:r>
        <w:t>1</w:t>
      </w:r>
    </w:fldSimple>
    <w:r>
      <w:rPr>
        <w:rFonts w:ascii="Arial" w:hAnsi="Arial"/>
        <w:sz w:val="16"/>
      </w:rPr>
      <w:t xml:space="preserve"> от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6"/>
      </w:rPr>
      <w:t>Птицеферма 30 000 носачки · свободно отглеждане · BG/ЕС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5A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2E5A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Птицеферма за 30 000 носачки — свободно отглеждане (е2е проект)</dc:title>
  <dc:subject>Инвестиционна концепция, BG/ЕС</dc:subject>
  <dc:creator>Claude (layer-farm-design)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