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jc w:val="center"/>
        <w:rPr>
          <w:rFonts w:ascii="Times New Roman" w:hAnsi="Times New Roman" w:eastAsia="Times New Roman" w:cs="Times New Roman"/>
          <w:b/>
          <w:smallCaps/>
          <w:color w:val="000000"/>
          <w:sz w:val="24"/>
          <w:szCs w:val="24"/>
        </w:rPr>
      </w:pPr>
      <w:r>
        <w:rPr>
          <w:rFonts w:eastAsia="Times New Roman" w:cs="Times New Roman" w:ascii="Times New Roman" w:hAnsi="Times New Roman"/>
          <w:b/>
          <w:smallCaps/>
          <w:color w:val="000000"/>
          <w:sz w:val="24"/>
          <w:szCs w:val="24"/>
        </w:rPr>
        <w:t>KЛАСИФИКАЦИЯ НА ИЗОБРАЖЕНИЯ ЧРЕЗ СОФТУЕРА ORANGE</w:t>
      </w:r>
    </w:p>
    <w:p>
      <w:pPr>
        <w:pStyle w:val="LO-normal"/>
        <w:jc w:val="center"/>
        <w:rPr>
          <w:rFonts w:ascii="Times New Roman" w:hAnsi="Times New Roman" w:eastAsia="Times New Roman" w:cs="Times New Roman"/>
          <w:smallCaps/>
          <w:color w:val="000000"/>
          <w:sz w:val="24"/>
          <w:szCs w:val="24"/>
        </w:rPr>
      </w:pPr>
      <w:r>
        <w:rPr>
          <w:rFonts w:eastAsia="Times New Roman" w:cs="Times New Roman" w:ascii="Times New Roman" w:hAnsi="Times New Roman"/>
          <w:smallCaps/>
          <w:color w:val="000000"/>
          <w:sz w:val="24"/>
          <w:szCs w:val="24"/>
        </w:rPr>
      </w:r>
    </w:p>
    <w:p>
      <w:pPr>
        <w:pStyle w:val="LO-normal"/>
        <w:jc w:val="center"/>
        <w:rPr>
          <w:rFonts w:ascii="Times New Roman" w:hAnsi="Times New Roman" w:eastAsia="Times New Roman" w:cs="Times New Roman"/>
          <w:i/>
          <w:i/>
          <w:iCs/>
          <w:color w:val="000000"/>
          <w:sz w:val="24"/>
          <w:szCs w:val="24"/>
          <w:vertAlign w:val="superscript"/>
        </w:rPr>
      </w:pPr>
      <w:r>
        <w:rPr>
          <w:rFonts w:eastAsia="Times New Roman" w:cs="Times New Roman" w:ascii="Times New Roman" w:hAnsi="Times New Roman"/>
          <w:i/>
          <w:iCs/>
          <w:color w:val="000000"/>
          <w:sz w:val="24"/>
          <w:szCs w:val="24"/>
        </w:rPr>
        <w:t>Кирил Кискинов</w:t>
      </w:r>
      <w:r>
        <w:rPr>
          <w:rFonts w:eastAsia="Times New Roman" w:cs="Times New Roman" w:ascii="Times New Roman" w:hAnsi="Times New Roman"/>
          <w:i/>
          <w:iCs/>
          <w:color w:val="000000"/>
          <w:sz w:val="24"/>
          <w:szCs w:val="24"/>
          <w:vertAlign w:val="superscript"/>
        </w:rPr>
        <w:t>*</w:t>
      </w:r>
      <w:r>
        <w:rPr>
          <w:rFonts w:eastAsia="Times New Roman" w:cs="Times New Roman" w:ascii="Times New Roman" w:hAnsi="Times New Roman"/>
          <w:i/>
          <w:iCs/>
          <w:color w:val="000000"/>
          <w:sz w:val="24"/>
          <w:szCs w:val="24"/>
        </w:rPr>
        <w:t>, Лиляна Колева</w:t>
      </w:r>
    </w:p>
    <w:p>
      <w:pPr>
        <w:pStyle w:val="LO-normal"/>
        <w:jc w:val="center"/>
        <w:rPr>
          <w:rFonts w:ascii="Times New Roman" w:hAnsi="Times New Roman" w:eastAsia="Times New Roman" w:cs="Times New Roman"/>
          <w:i/>
          <w:i/>
          <w:iCs/>
          <w:color w:val="000000"/>
          <w:sz w:val="24"/>
          <w:szCs w:val="24"/>
        </w:rPr>
      </w:pPr>
      <w:r>
        <w:rPr>
          <w:rFonts w:eastAsia="Times New Roman" w:cs="Times New Roman" w:ascii="Times New Roman" w:hAnsi="Times New Roman"/>
          <w:i/>
          <w:iCs/>
          <w:color w:val="000000"/>
          <w:sz w:val="24"/>
          <w:szCs w:val="24"/>
        </w:rPr>
        <w:t xml:space="preserve">Химикотехнологичен и металургичен университет, </w:t>
      </w:r>
    </w:p>
    <w:p>
      <w:pPr>
        <w:pStyle w:val="LO-normal"/>
        <w:jc w:val="center"/>
        <w:rPr>
          <w:rFonts w:ascii="Times New Roman" w:hAnsi="Times New Roman" w:eastAsia="Times New Roman" w:cs="Times New Roman"/>
          <w:i/>
          <w:i/>
          <w:iCs/>
          <w:color w:val="000000"/>
          <w:sz w:val="24"/>
          <w:szCs w:val="24"/>
        </w:rPr>
      </w:pPr>
      <w:r>
        <w:rPr>
          <w:rFonts w:eastAsia="Times New Roman" w:cs="Times New Roman" w:ascii="Times New Roman" w:hAnsi="Times New Roman"/>
          <w:i/>
          <w:iCs/>
          <w:color w:val="000000"/>
          <w:sz w:val="24"/>
          <w:szCs w:val="24"/>
        </w:rPr>
        <w:t>бул. „Климент Охридски“ № 8, София, 1797</w:t>
      </w:r>
    </w:p>
    <w:p>
      <w:pPr>
        <w:pStyle w:val="LO-normal"/>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b/>
          <w:sz w:val="24"/>
          <w:szCs w:val="24"/>
        </w:rPr>
        <w:t>Резюме:</w:t>
      </w:r>
      <w:r>
        <w:rPr>
          <w:rFonts w:eastAsia="Times New Roman" w:cs="Times New Roman" w:ascii="Times New Roman" w:hAnsi="Times New Roman"/>
          <w:sz w:val="24"/>
          <w:szCs w:val="24"/>
        </w:rPr>
        <w:t xml:space="preserve"> Доклад</w:t>
      </w:r>
      <w:r>
        <w:rPr>
          <w:rFonts w:eastAsia="Times New Roman" w:cs="Times New Roman" w:ascii="Times New Roman" w:hAnsi="Times New Roman"/>
          <w:sz w:val="24"/>
          <w:szCs w:val="24"/>
        </w:rPr>
        <w:t>ът</w:t>
      </w:r>
      <w:r>
        <w:rPr>
          <w:rFonts w:eastAsia="Times New Roman" w:cs="Times New Roman" w:ascii="Times New Roman" w:hAnsi="Times New Roman"/>
          <w:sz w:val="24"/>
          <w:szCs w:val="24"/>
        </w:rPr>
        <w:t xml:space="preserve"> анализира възможностите на софтуерния продукт Orange Data Mining за класификация на изображения по два начина – със и без йерархия. Фокусира се върху сравнение на различни методи за класификация, включително невронни мрежи, метода на най-близките съседи, метода на случайните гори, логистична регресия и SVM метода.</w:t>
      </w:r>
    </w:p>
    <w:p>
      <w:pPr>
        <w:pStyle w:val="LO-normal"/>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LO-normal"/>
        <w:ind w:firstLine="720"/>
        <w:jc w:val="both"/>
        <w:rPr>
          <w:rFonts w:ascii="Times New Roman" w:hAnsi="Times New Roman" w:eastAsia="Times New Roman" w:cs="Times New Roman"/>
          <w:sz w:val="22"/>
          <w:szCs w:val="22"/>
        </w:rPr>
      </w:pPr>
      <w:r>
        <w:rPr>
          <w:rFonts w:eastAsia="Times New Roman" w:cs="Times New Roman" w:ascii="Times New Roman" w:hAnsi="Times New Roman"/>
          <w:b/>
          <w:sz w:val="22"/>
          <w:szCs w:val="22"/>
        </w:rPr>
        <w:t>Увод</w:t>
      </w:r>
      <w:r>
        <w:rPr>
          <w:rFonts w:eastAsia="Times New Roman" w:cs="Times New Roman" w:ascii="Times New Roman" w:hAnsi="Times New Roman"/>
          <w:sz w:val="22"/>
          <w:szCs w:val="22"/>
        </w:rPr>
        <w:t xml:space="preserve"> </w:t>
      </w:r>
    </w:p>
    <w:p>
      <w:pPr>
        <w:pStyle w:val="LO-normal"/>
        <w:ind w:firstLine="72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Data mining, или извличане на знания от данни, е процесът на откриване на модели, закономерности, корелации или тенденции в големи обеми данни. Целта на data mining е да се извлекат полезни и ценни информации от масиви данни, които след това могат да бъдат използвани за вземане на решения, прогнозиране на бъдещи събития, оптимизиране на процеси и други. Този процес обикновено включва използването на различни статистически и алгоритмични методи, като класификация, клъстериране, регресия и други, за да се анализират и обработят данните.</w:t>
      </w:r>
    </w:p>
    <w:p>
      <w:pPr>
        <w:pStyle w:val="LO-normal"/>
        <w:ind w:firstLine="72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Целта на разработката е да се разгледа как чрез софтуерния продукт Orange Data Mining може да се извлече полезна информация от визуални данни и да се приложи за решаване на различни задачи. Да се покаже как чрез използването на методи за анализ на изображения, могат да се разберат характеристиките и особеностите на голям брой изображения и да се извлече ценна информация от тях, която може да бъде използвана за вземане на решения в различни области като медицината, автоматизацията на производствени процеси, сигурността, маркетинга и други.</w:t>
      </w:r>
    </w:p>
    <w:p>
      <w:pPr>
        <w:pStyle w:val="LO-normal"/>
        <w:ind w:firstLine="72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LO-normal"/>
        <w:jc w:val="both"/>
        <w:rPr/>
      </w:pPr>
      <w:r>
        <w:rPr>
          <w:rFonts w:eastAsia="Times New Roman" w:cs="Times New Roman" w:ascii="Times New Roman" w:hAnsi="Times New Roman"/>
          <w:sz w:val="22"/>
          <w:szCs w:val="22"/>
        </w:rPr>
        <w:tab/>
      </w:r>
      <w:r>
        <w:rPr>
          <w:rFonts w:eastAsia="Times New Roman" w:cs="Times New Roman" w:ascii="Times New Roman" w:hAnsi="Times New Roman"/>
          <w:b/>
          <w:bCs/>
          <w:sz w:val="22"/>
          <w:szCs w:val="22"/>
          <w:lang w:val="en-US"/>
        </w:rPr>
        <w:t xml:space="preserve">Data mining – </w:t>
      </w:r>
      <w:r>
        <w:rPr>
          <w:rFonts w:eastAsia="Times New Roman" w:cs="Times New Roman" w:ascii="Times New Roman" w:hAnsi="Times New Roman"/>
          <w:b/>
          <w:bCs/>
          <w:sz w:val="22"/>
          <w:szCs w:val="22"/>
        </w:rPr>
        <w:t>как работи?</w:t>
      </w:r>
    </w:p>
    <w:p>
      <w:pPr>
        <w:pStyle w:val="LO-normal"/>
        <w:jc w:val="both"/>
        <w:rPr/>
      </w:pPr>
      <w:r>
        <w:rPr>
          <w:rFonts w:eastAsia="Times New Roman" w:cs="Times New Roman" w:ascii="Times New Roman" w:hAnsi="Times New Roman"/>
          <w:b/>
          <w:bCs/>
          <w:sz w:val="22"/>
          <w:szCs w:val="22"/>
        </w:rPr>
        <w:tab/>
      </w:r>
      <w:r>
        <w:rPr>
          <w:rFonts w:eastAsia="Times New Roman" w:cs="Times New Roman" w:ascii="Times New Roman" w:hAnsi="Times New Roman"/>
          <w:sz w:val="22"/>
          <w:szCs w:val="22"/>
        </w:rPr>
        <w:t>Софтуерът за анализ на данни изследва връзките и редовете в складирани данни за транзакции, базирани на заявки от потребителите. Този процес обикновено включва различни видове аналитичен софтуер, като статистически инструменти, софтуер за машинно обучение и невронни мрежи. Основната цел е да се открият един от четирите основни типа взаимовръзки:</w:t>
      </w:r>
    </w:p>
    <w:p>
      <w:pPr>
        <w:pStyle w:val="LO-normal"/>
        <w:numPr>
          <w:ilvl w:val="0"/>
          <w:numId w:val="2"/>
        </w:numPr>
        <w:jc w:val="both"/>
        <w:rPr/>
      </w:pPr>
      <w:r>
        <w:rPr>
          <w:rFonts w:eastAsia="Times New Roman" w:cs="Times New Roman" w:ascii="Times New Roman" w:hAnsi="Times New Roman"/>
          <w:i/>
          <w:iCs/>
          <w:sz w:val="22"/>
          <w:szCs w:val="22"/>
          <w:u w:val="single"/>
        </w:rPr>
        <w:t>Класове (Classes)</w:t>
      </w:r>
      <w:r>
        <w:rPr>
          <w:rFonts w:eastAsia="Times New Roman" w:cs="Times New Roman" w:ascii="Times New Roman" w:hAnsi="Times New Roman"/>
          <w:sz w:val="22"/>
          <w:szCs w:val="22"/>
        </w:rPr>
        <w:t>: В този контекст "класове" се отнасят до категории или групи, в които могат да бъдат разделени данните. Класификационните алгоритми се използват, за да се предскаже категорията, към която принадлежи даден обект, въз основа на характеристиките му.</w:t>
      </w:r>
    </w:p>
    <w:p>
      <w:pPr>
        <w:pStyle w:val="LO-normal"/>
        <w:numPr>
          <w:ilvl w:val="0"/>
          <w:numId w:val="2"/>
        </w:numPr>
        <w:jc w:val="both"/>
        <w:rPr/>
      </w:pPr>
      <w:r>
        <w:rPr>
          <w:rFonts w:eastAsia="Times New Roman" w:cs="Times New Roman" w:ascii="Times New Roman" w:hAnsi="Times New Roman"/>
          <w:i/>
          <w:iCs/>
          <w:sz w:val="22"/>
          <w:szCs w:val="22"/>
          <w:u w:val="single"/>
        </w:rPr>
        <w:t>Клъстериране (Clustering)</w:t>
      </w:r>
      <w:r>
        <w:rPr>
          <w:rFonts w:eastAsia="Times New Roman" w:cs="Times New Roman" w:ascii="Times New Roman" w:hAnsi="Times New Roman"/>
          <w:sz w:val="22"/>
          <w:szCs w:val="22"/>
        </w:rPr>
        <w:t>: Клъстерирането е процесът на разделяне на множеството от данни на групи или "клъстери", така че обектите в един клъстер са по-подобни помежду си, отколкото на обектите в други клъстери. Това позволява откриването на скрити структури или подобия в данните.</w:t>
      </w:r>
    </w:p>
    <w:p>
      <w:pPr>
        <w:pStyle w:val="LO-normal"/>
        <w:numPr>
          <w:ilvl w:val="0"/>
          <w:numId w:val="2"/>
        </w:numPr>
        <w:jc w:val="both"/>
        <w:rPr/>
      </w:pPr>
      <w:r>
        <w:rPr>
          <w:rFonts w:eastAsia="Times New Roman" w:cs="Times New Roman" w:ascii="Times New Roman" w:hAnsi="Times New Roman"/>
          <w:i/>
          <w:iCs/>
          <w:sz w:val="22"/>
          <w:szCs w:val="22"/>
          <w:u w:val="single"/>
        </w:rPr>
        <w:t>Асоциации (Associations)</w:t>
      </w:r>
      <w:r>
        <w:rPr>
          <w:rFonts w:eastAsia="Times New Roman" w:cs="Times New Roman" w:ascii="Times New Roman" w:hAnsi="Times New Roman"/>
          <w:sz w:val="22"/>
          <w:szCs w:val="22"/>
        </w:rPr>
        <w:t>: Това са статистически връзки между два или повече атрибута в набора от данни. Целта на анализа на асоциациите е да се открият често срещани комбинации от атрибути, които могат да имат съвместно влияние или връзка.</w:t>
      </w:r>
    </w:p>
    <w:p>
      <w:pPr>
        <w:pStyle w:val="LO-normal"/>
        <w:numPr>
          <w:ilvl w:val="0"/>
          <w:numId w:val="2"/>
        </w:numPr>
        <w:jc w:val="both"/>
        <w:rPr/>
      </w:pPr>
      <w:r>
        <w:rPr>
          <w:rFonts w:eastAsia="Times New Roman" w:cs="Times New Roman" w:ascii="Times New Roman" w:hAnsi="Times New Roman"/>
          <w:i/>
          <w:iCs/>
          <w:sz w:val="22"/>
          <w:szCs w:val="22"/>
          <w:u w:val="single"/>
        </w:rPr>
        <w:t>Последователни модели (Sequential Patterns)</w:t>
      </w:r>
      <w:r>
        <w:rPr>
          <w:rFonts w:eastAsia="Times New Roman" w:cs="Times New Roman" w:ascii="Times New Roman" w:hAnsi="Times New Roman"/>
          <w:sz w:val="22"/>
          <w:szCs w:val="22"/>
        </w:rPr>
        <w:t>: Това са модели, които се използват за анализ на последователни данни, като например времеви редове или последователности от събития. Целта е да се открият закономерности или шаблони в последователностите, които могат да бъдат използвани за предсказване на бъдещи събития или за разбиране на взаимодействията между данните [1].</w:t>
      </w:r>
    </w:p>
    <w:p>
      <w:pPr>
        <w:pStyle w:val="LO-normal"/>
        <w:jc w:val="both"/>
        <w:rPr>
          <w:rFonts w:ascii="Times New Roman" w:hAnsi="Times New Roman" w:eastAsia="Times New Roman" w:cs="Times New Roman"/>
          <w:sz w:val="22"/>
          <w:szCs w:val="22"/>
          <w:lang w:val="en-US"/>
        </w:rPr>
      </w:pPr>
      <w:r>
        <w:rPr>
          <w:rFonts w:eastAsia="Times New Roman" w:cs="Times New Roman" w:ascii="Times New Roman" w:hAnsi="Times New Roman"/>
          <w:sz w:val="22"/>
          <w:szCs w:val="22"/>
          <w:lang w:val="en-US"/>
        </w:rPr>
      </w:r>
    </w:p>
    <w:p>
      <w:pPr>
        <w:pStyle w:val="LO-normal"/>
        <w:jc w:val="both"/>
        <w:rPr>
          <w:b/>
          <w:bCs/>
        </w:rPr>
      </w:pPr>
      <w:r>
        <w:rPr>
          <w:rFonts w:eastAsia="Times New Roman" w:cs="Times New Roman" w:ascii="Times New Roman" w:hAnsi="Times New Roman"/>
          <w:b/>
          <w:bCs/>
          <w:sz w:val="22"/>
          <w:szCs w:val="22"/>
          <w:lang w:val="en-US"/>
        </w:rPr>
        <w:tab/>
      </w:r>
      <w:r>
        <w:rPr>
          <w:rFonts w:eastAsia="Times New Roman" w:cs="Times New Roman" w:ascii="Times New Roman" w:hAnsi="Times New Roman"/>
          <w:b/>
          <w:bCs/>
          <w:sz w:val="22"/>
          <w:szCs w:val="22"/>
        </w:rPr>
        <w:t>Основни етапи при извличането на данни</w:t>
      </w:r>
    </w:p>
    <w:p>
      <w:pPr>
        <w:pStyle w:val="LO-normal"/>
        <w:jc w:val="both"/>
        <w:rPr>
          <w:b/>
          <w:bCs/>
        </w:rPr>
      </w:pPr>
      <w:r>
        <w:rPr>
          <w:rFonts w:eastAsia="Times New Roman" w:cs="Times New Roman" w:ascii="Times New Roman" w:hAnsi="Times New Roman"/>
          <w:b/>
          <w:bCs/>
          <w:sz w:val="22"/>
          <w:szCs w:val="22"/>
        </w:rPr>
        <w:tab/>
      </w:r>
      <w:r>
        <w:rPr>
          <w:rFonts w:eastAsia="Times New Roman" w:cs="Times New Roman" w:ascii="Times New Roman" w:hAnsi="Times New Roman"/>
          <w:sz w:val="22"/>
          <w:szCs w:val="22"/>
        </w:rPr>
        <w:t>Извличането на данни е комплексен процес, който включва няколко основни етапа:</w:t>
      </w:r>
    </w:p>
    <w:p>
      <w:pPr>
        <w:pStyle w:val="LO-normal"/>
        <w:numPr>
          <w:ilvl w:val="0"/>
          <w:numId w:val="3"/>
        </w:numPr>
        <w:jc w:val="both"/>
        <w:rPr>
          <w:b/>
          <w:bCs/>
        </w:rPr>
      </w:pPr>
      <w:r>
        <w:rPr>
          <w:rFonts w:eastAsia="Times New Roman" w:cs="Times New Roman" w:ascii="Times New Roman" w:hAnsi="Times New Roman"/>
          <w:sz w:val="22"/>
          <w:szCs w:val="22"/>
        </w:rPr>
        <w:t>Събиране на данни: Следващият етап е събирането на необходимите данни за решаване на поставените въпроси. Тези данни могат да бъдат взети от различни източници като бази данни, текстови документи, социални медии, уебсайтове и други.</w:t>
      </w:r>
    </w:p>
    <w:p>
      <w:pPr>
        <w:pStyle w:val="LO-normal"/>
        <w:numPr>
          <w:ilvl w:val="0"/>
          <w:numId w:val="3"/>
        </w:numPr>
        <w:jc w:val="both"/>
        <w:rPr>
          <w:b/>
          <w:bCs/>
        </w:rPr>
      </w:pPr>
      <w:r>
        <w:rPr>
          <w:rFonts w:eastAsia="Times New Roman" w:cs="Times New Roman" w:ascii="Times New Roman" w:hAnsi="Times New Roman"/>
          <w:sz w:val="22"/>
          <w:szCs w:val="22"/>
        </w:rPr>
        <w:t>Подготовка на данните: След като данните са събрани, те трябва да бъдат подготвени за анализ. Този етап включва почистване на данните от липсващи или неправилни стойности, обработка на дублиращи се записи, преобразуване на данните в подходящ формат и други подобни операции.</w:t>
      </w:r>
    </w:p>
    <w:p>
      <w:pPr>
        <w:pStyle w:val="LO-normal"/>
        <w:numPr>
          <w:ilvl w:val="0"/>
          <w:numId w:val="3"/>
        </w:numPr>
        <w:jc w:val="both"/>
        <w:rPr>
          <w:b/>
          <w:bCs/>
        </w:rPr>
      </w:pPr>
      <w:r>
        <w:rPr>
          <w:rFonts w:eastAsia="Times New Roman" w:cs="Times New Roman" w:ascii="Times New Roman" w:hAnsi="Times New Roman"/>
          <w:sz w:val="22"/>
          <w:szCs w:val="22"/>
        </w:rPr>
        <w:t>Анализ на данните: След подготовката на данните започва етапът на анализ. Тук се използват различни методи и техники за изследване на данните с цел откриване на закономерности, корелации, тенденции или други интересни аспекти. Това включва използването на статистически анализ, машинно самообучение, визуализация на данни и други методи.</w:t>
      </w:r>
    </w:p>
    <w:p>
      <w:pPr>
        <w:pStyle w:val="LO-normal"/>
        <w:numPr>
          <w:ilvl w:val="0"/>
          <w:numId w:val="3"/>
        </w:numPr>
        <w:jc w:val="both"/>
        <w:rPr>
          <w:b/>
          <w:bCs/>
        </w:rPr>
      </w:pPr>
      <w:r>
        <w:rPr>
          <w:rFonts w:eastAsia="Times New Roman" w:cs="Times New Roman" w:ascii="Times New Roman" w:hAnsi="Times New Roman"/>
          <w:sz w:val="22"/>
          <w:szCs w:val="22"/>
        </w:rPr>
        <w:t>Интерпретация на резултатите и вземане на решения: Последният етап от извличането на данни включва интерпретация на получените резултати и вземане на решения въз основа на тях. Тук се анализират откритите закономерности и тенденции, които могат да бъдат използвани за вземане на интелигентни решения за бъдещи действия или стратегии.</w:t>
      </w:r>
    </w:p>
    <w:p>
      <w:pPr>
        <w:pStyle w:val="LO-normal"/>
        <w:ind w:firstLine="72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LO-normal"/>
        <w:jc w:val="both"/>
        <w:rPr/>
      </w:pPr>
      <w:r>
        <w:rPr/>
        <w:tab/>
      </w:r>
      <w:r>
        <w:rPr>
          <w:rFonts w:ascii="Times New Roman" w:hAnsi="Times New Roman"/>
          <w:b/>
          <w:bCs/>
          <w:sz w:val="22"/>
          <w:szCs w:val="22"/>
        </w:rPr>
        <w:t>Софтуерен продукт Orange Data Mining</w:t>
      </w:r>
    </w:p>
    <w:p>
      <w:pPr>
        <w:pStyle w:val="LO-normal"/>
        <w:jc w:val="both"/>
        <w:rPr/>
      </w:pPr>
      <w:r>
        <w:rPr>
          <w:rFonts w:ascii="Times New Roman" w:hAnsi="Times New Roman"/>
          <w:b/>
          <w:bCs/>
          <w:sz w:val="22"/>
          <w:szCs w:val="22"/>
        </w:rPr>
        <w:tab/>
      </w:r>
      <w:r>
        <w:rPr>
          <w:rFonts w:ascii="Times New Roman" w:hAnsi="Times New Roman"/>
          <w:sz w:val="22"/>
          <w:szCs w:val="22"/>
        </w:rPr>
        <w:t>Orange Data Mining е мощен софтуерен инструмент за извличане на данни и визуализация, който предоставя гъвкави възможности за анализ на данни и машинно самообучение. Orange предлага лесен за използване графичен интерфейс, който позволява на потребителите да създават и конфигурират различни аналитични процеси чрез drag and drop функционалност и визуално свързване на компонентите.</w:t>
      </w:r>
    </w:p>
    <w:p>
      <w:pPr>
        <w:pStyle w:val="LO-normal"/>
        <w:jc w:val="both"/>
        <w:rPr/>
      </w:pPr>
      <w:r>
        <w:rPr>
          <w:rFonts w:ascii="Times New Roman" w:hAnsi="Times New Roman"/>
          <w:sz w:val="22"/>
          <w:szCs w:val="22"/>
        </w:rPr>
        <w:tab/>
        <w:t>Orange разполага с разнообразие от алгоритми за класификация, клъстериране, регресия, асоциативни правила, извличане на атрибути и други. Тези инструменти позволяват на потребителите да извършват различни видове анализ на данни върху техните набори от данни.</w:t>
      </w:r>
    </w:p>
    <w:p>
      <w:pPr>
        <w:pStyle w:val="LO-normal"/>
        <w:jc w:val="both"/>
        <w:rPr/>
      </w:pPr>
      <w:r>
        <w:rPr>
          <w:rFonts w:ascii="Times New Roman" w:hAnsi="Times New Roman"/>
          <w:sz w:val="22"/>
          <w:szCs w:val="22"/>
        </w:rPr>
        <w:tab/>
        <w:t>Софтуерът е проектиран с модуларна архитектура, която позволява на потребителите да добавят нови функционалности и разширения към системата, като същевременно запазват лесната за използване и интуитивна среда.</w:t>
      </w:r>
    </w:p>
    <w:p>
      <w:pPr>
        <w:pStyle w:val="LO-normal"/>
        <w:jc w:val="both"/>
        <w:rPr/>
      </w:pPr>
      <w:r>
        <w:rPr>
          <w:rFonts w:ascii="Times New Roman" w:hAnsi="Times New Roman"/>
          <w:sz w:val="22"/>
          <w:szCs w:val="22"/>
        </w:rPr>
        <w:tab/>
        <w:t>Orange предлага различни инструменти за визуализация на данни, които позволяват на потребителите да представят графично своите данни, да изследват взаимодействията между атрибутите и да откриват визуални закономерности в данните си.</w:t>
      </w:r>
    </w:p>
    <w:p>
      <w:pPr>
        <w:pStyle w:val="LO-normal"/>
        <w:jc w:val="both"/>
        <w:rPr/>
      </w:pPr>
      <w:r>
        <w:rPr>
          <w:rFonts w:ascii="Times New Roman" w:hAnsi="Times New Roman"/>
          <w:sz w:val="22"/>
          <w:szCs w:val="22"/>
        </w:rPr>
        <w:tab/>
        <w:t>Orange е съвместим с различни операционни системи и езици за програмиране, като също така предлага възможности за интеграция с други софтуерни платформи и библиотеки за анализ на данни.</w:t>
      </w:r>
    </w:p>
    <w:p>
      <w:pPr>
        <w:pStyle w:val="LO-normal"/>
        <w:jc w:val="both"/>
        <w:rPr>
          <w:rFonts w:ascii="Times New Roman" w:hAnsi="Times New Roman"/>
          <w:b/>
          <w:bCs/>
          <w:sz w:val="22"/>
          <w:szCs w:val="22"/>
        </w:rPr>
      </w:pPr>
      <w:r>
        <w:rPr>
          <w:rFonts w:ascii="Times New Roman" w:hAnsi="Times New Roman"/>
          <w:b/>
          <w:bCs/>
          <w:sz w:val="22"/>
          <w:szCs w:val="22"/>
        </w:rPr>
      </w:r>
    </w:p>
    <w:p>
      <w:pPr>
        <w:pStyle w:val="LO-normal"/>
        <w:ind w:firstLine="720"/>
        <w:jc w:val="both"/>
        <w:rPr>
          <w:rFonts w:ascii="Times New Roman" w:hAnsi="Times New Roman" w:eastAsia="Times New Roman" w:cs="Times New Roman"/>
          <w:sz w:val="22"/>
          <w:szCs w:val="22"/>
        </w:rPr>
      </w:pPr>
      <w:r>
        <w:rPr>
          <w:rFonts w:eastAsia="Times New Roman" w:cs="Times New Roman" w:ascii="Times New Roman" w:hAnsi="Times New Roman"/>
          <w:b/>
          <w:sz w:val="22"/>
          <w:szCs w:val="22"/>
        </w:rPr>
        <w:t>Методи</w:t>
      </w:r>
    </w:p>
    <w:p>
      <w:pPr>
        <w:pStyle w:val="LO-normal"/>
        <w:ind w:firstLine="720"/>
        <w:jc w:val="both"/>
        <w:rPr>
          <w:b/>
          <w:bCs/>
          <w:i/>
          <w:i/>
          <w:iCs/>
        </w:rPr>
      </w:pPr>
      <w:r>
        <w:rPr>
          <w:rFonts w:eastAsia="Times New Roman" w:cs="Times New Roman" w:ascii="Times New Roman" w:hAnsi="Times New Roman"/>
          <w:b/>
          <w:bCs/>
          <w:i/>
          <w:iCs/>
          <w:sz w:val="22"/>
          <w:szCs w:val="22"/>
        </w:rPr>
        <w:t>Невронни мрежи</w:t>
      </w:r>
    </w:p>
    <w:p>
      <w:pPr>
        <w:pStyle w:val="LO-normal"/>
        <w:jc w:val="both"/>
        <w:rPr>
          <w:b/>
          <w:bCs/>
          <w:i/>
          <w:i/>
          <w:iCs/>
        </w:rPr>
      </w:pPr>
      <w:r>
        <w:rPr>
          <w:rFonts w:eastAsia="Times New Roman" w:cs="Times New Roman" w:ascii="Times New Roman" w:hAnsi="Times New Roman"/>
          <w:b/>
          <w:bCs/>
          <w:i/>
          <w:iCs/>
          <w:sz w:val="22"/>
          <w:szCs w:val="22"/>
        </w:rPr>
        <w:tab/>
      </w:r>
      <w:r>
        <w:rPr>
          <w:rFonts w:eastAsia="Times New Roman" w:cs="Times New Roman" w:ascii="Times New Roman" w:hAnsi="Times New Roman"/>
          <w:sz w:val="22"/>
          <w:szCs w:val="22"/>
        </w:rPr>
        <w:t>Невронните мрежи са модел за машинно самообучение, който е вдъхновен от биологичната невронна структура на човешкия мозък. Невроните са основните строителни елементи на невронните мрежи. Те получават входни сигнали от други неврони или от външни източници, обработват ги чрез линейни и нелинейни операции и генерират изходен сигнал.</w:t>
      </w:r>
    </w:p>
    <w:p>
      <w:pPr>
        <w:pStyle w:val="LO-normal"/>
        <w:jc w:val="both"/>
        <w:rPr/>
      </w:pPr>
      <w:r>
        <w:rPr>
          <w:rFonts w:eastAsia="Times New Roman" w:cs="Times New Roman" w:ascii="Times New Roman" w:hAnsi="Times New Roman"/>
          <w:sz w:val="22"/>
          <w:szCs w:val="22"/>
        </w:rPr>
        <w:tab/>
        <w:t>Невронните мрежи се състоят от няколко слоя от неврони, които са организирани в различни последователности. Обикновено се използват три основни типа слоеве: входен слой, скрити слоеве и изходен слой.</w:t>
      </w:r>
    </w:p>
    <w:p>
      <w:pPr>
        <w:pStyle w:val="LO-normal"/>
        <w:jc w:val="both"/>
        <w:rPr/>
      </w:pPr>
      <w:r>
        <w:rPr>
          <w:rFonts w:eastAsia="Times New Roman" w:cs="Times New Roman" w:ascii="Times New Roman" w:hAnsi="Times New Roman"/>
          <w:sz w:val="22"/>
          <w:szCs w:val="22"/>
        </w:rPr>
        <w:tab/>
        <w:t>Всяка връзка в невронната мрежа представлява връзка между невроните в различните слоеве. Тези връзки имат асоциирани тегла, които се използват за регулиране на силата на връзката между невроните.</w:t>
      </w:r>
    </w:p>
    <w:p>
      <w:pPr>
        <w:pStyle w:val="LO-normal"/>
        <w:jc w:val="both"/>
        <w:rPr/>
      </w:pPr>
      <w:r>
        <w:rPr>
          <w:rFonts w:eastAsia="Times New Roman" w:cs="Times New Roman" w:ascii="Times New Roman" w:hAnsi="Times New Roman"/>
          <w:sz w:val="22"/>
          <w:szCs w:val="22"/>
        </w:rPr>
        <w:tab/>
        <w:t>Функциите за активация се използват в невроните за преобразуване на входните сигнали в изходни стойности. Те добавят нелинейност към модела и могат да бъдат различни типове като сигмоид, ReLU (Rectified Linear Unit), tanh (Hyperbolic Tangent) и други.</w:t>
      </w:r>
    </w:p>
    <w:p>
      <w:pPr>
        <w:pStyle w:val="LO-normal"/>
        <w:jc w:val="both"/>
        <w:rPr/>
      </w:pPr>
      <w:r>
        <w:rPr>
          <w:rFonts w:eastAsia="Times New Roman" w:cs="Times New Roman" w:ascii="Times New Roman" w:hAnsi="Times New Roman"/>
          <w:sz w:val="22"/>
          <w:szCs w:val="22"/>
        </w:rPr>
        <w:tab/>
        <w:t>Обучението на невронните мрежи се извършва чрез алгоритми за градиентно спускане, като например обратно разпространение на грешката (Backpropagation). Тези алгоритми се използват за приспособяване на теглата на връзките в мрежата, така че да минимизират грешката между предвидените и реалните изходи на модела.</w:t>
      </w:r>
    </w:p>
    <w:p>
      <w:pPr>
        <w:pStyle w:val="LO-normal"/>
        <w:jc w:val="both"/>
        <w:rPr/>
      </w:pPr>
      <w:r>
        <w:rPr>
          <w:rFonts w:eastAsia="Times New Roman" w:cs="Times New Roman" w:ascii="Times New Roman" w:hAnsi="Times New Roman"/>
          <w:sz w:val="22"/>
          <w:szCs w:val="22"/>
        </w:rPr>
        <w:tab/>
      </w:r>
      <w:r>
        <w:rPr>
          <w:rFonts w:eastAsia="Times New Roman" w:cs="Times New Roman" w:ascii="Times New Roman" w:hAnsi="Times New Roman"/>
          <w:b/>
          <w:bCs/>
          <w:i/>
          <w:iCs/>
          <w:sz w:val="22"/>
          <w:szCs w:val="22"/>
        </w:rPr>
        <w:t>Метод на най-близките съседи</w:t>
      </w:r>
    </w:p>
    <w:p>
      <w:pPr>
        <w:pStyle w:val="LO-normal"/>
        <w:jc w:val="both"/>
        <w:rPr/>
      </w:pPr>
      <w:r>
        <w:rPr>
          <w:rFonts w:eastAsia="Times New Roman" w:cs="Times New Roman" w:ascii="Times New Roman" w:hAnsi="Times New Roman"/>
          <w:sz w:val="22"/>
          <w:szCs w:val="22"/>
        </w:rPr>
        <w:tab/>
        <w:t xml:space="preserve">Методът на класифициране по най-близкия съсед е сред възможно най-елементарните класификатори. Когато му се зададе елемент за класифициране, той намира онзи елемент от данните за обучение, който най-много наподобява новия елемент и задава същия етикет </w:t>
      </w:r>
      <w:r>
        <w:rPr>
          <w:rFonts w:eastAsia="Times New Roman" w:cs="Times New Roman" w:ascii="Times New Roman" w:hAnsi="Times New Roman"/>
          <w:sz w:val="22"/>
          <w:szCs w:val="22"/>
          <w:lang w:val="en-US"/>
        </w:rPr>
        <w:t>[</w:t>
      </w:r>
      <w:r>
        <w:rPr>
          <w:rFonts w:eastAsia="Times New Roman" w:cs="Times New Roman" w:ascii="Times New Roman" w:hAnsi="Times New Roman"/>
          <w:sz w:val="22"/>
          <w:szCs w:val="22"/>
        </w:rPr>
        <w:t>2</w:t>
      </w:r>
      <w:r>
        <w:rPr>
          <w:rFonts w:eastAsia="Times New Roman" w:cs="Times New Roman" w:ascii="Times New Roman" w:hAnsi="Times New Roman"/>
          <w:sz w:val="22"/>
          <w:szCs w:val="22"/>
          <w:lang w:val="en-US"/>
        </w:rPr>
        <w:t>]</w:t>
      </w:r>
      <w:r>
        <w:rPr>
          <w:rFonts w:eastAsia="Times New Roman" w:cs="Times New Roman" w:ascii="Times New Roman" w:hAnsi="Times New Roman"/>
          <w:sz w:val="22"/>
          <w:szCs w:val="22"/>
        </w:rPr>
        <w:t>.</w:t>
      </w:r>
    </w:p>
    <w:p>
      <w:pPr>
        <w:pStyle w:val="LO-normal"/>
        <w:jc w:val="both"/>
        <w:rPr/>
      </w:pPr>
      <w:r>
        <w:rPr>
          <w:rFonts w:eastAsia="Times New Roman" w:cs="Times New Roman" w:ascii="Times New Roman" w:hAnsi="Times New Roman"/>
          <w:sz w:val="22"/>
          <w:szCs w:val="22"/>
        </w:rPr>
        <w:tab/>
        <w:t xml:space="preserve"> Концепцията на метода на най-близкия съсед е сравнително проста - за да класифицираме нов обект, алгоритъмът търси </w:t>
      </w:r>
      <w:r>
        <w:rPr>
          <w:rFonts w:eastAsia="Times New Roman" w:cs="Times New Roman" w:ascii="Times New Roman" w:hAnsi="Times New Roman"/>
          <w:i/>
          <w:iCs/>
          <w:sz w:val="22"/>
          <w:szCs w:val="22"/>
        </w:rPr>
        <w:t>k</w:t>
      </w:r>
      <w:r>
        <w:rPr>
          <w:rFonts w:eastAsia="Times New Roman" w:cs="Times New Roman" w:ascii="Times New Roman" w:hAnsi="Times New Roman"/>
          <w:sz w:val="22"/>
          <w:szCs w:val="22"/>
        </w:rPr>
        <w:t xml:space="preserve"> най-близки съседи от обучителния набор и използва техните класове (за класификация) или стойности (за регресия), за да определи класа или стойността на новия обект. Параметърът </w:t>
      </w:r>
      <w:r>
        <w:rPr>
          <w:rFonts w:eastAsia="Times New Roman" w:cs="Times New Roman" w:ascii="Times New Roman" w:hAnsi="Times New Roman"/>
          <w:i/>
          <w:iCs/>
          <w:sz w:val="22"/>
          <w:szCs w:val="22"/>
        </w:rPr>
        <w:t>k</w:t>
      </w:r>
      <w:r>
        <w:rPr>
          <w:rFonts w:eastAsia="Times New Roman" w:cs="Times New Roman" w:ascii="Times New Roman" w:hAnsi="Times New Roman"/>
          <w:sz w:val="22"/>
          <w:szCs w:val="22"/>
        </w:rPr>
        <w:t xml:space="preserve"> и метриката за разстояние се използват за определяне на близостта. Методът е лесен за разбиране и приложение, но може да изисква значително време за обучение и класификация, особено при големи набори от данни.</w:t>
      </w:r>
    </w:p>
    <w:p>
      <w:pPr>
        <w:pStyle w:val="LO-normal"/>
        <w:jc w:val="both"/>
        <w:rPr/>
      </w:pPr>
      <w:r>
        <w:rPr>
          <w:rFonts w:eastAsia="Times New Roman" w:cs="Times New Roman" w:ascii="Times New Roman" w:hAnsi="Times New Roman"/>
          <w:sz w:val="22"/>
          <w:szCs w:val="22"/>
        </w:rPr>
        <w:tab/>
      </w:r>
      <w:r>
        <w:rPr>
          <w:rFonts w:eastAsia="Times New Roman" w:cs="Times New Roman" w:ascii="Times New Roman" w:hAnsi="Times New Roman"/>
          <w:b/>
          <w:bCs/>
          <w:i/>
          <w:iCs/>
          <w:sz w:val="22"/>
          <w:szCs w:val="22"/>
        </w:rPr>
        <w:t xml:space="preserve">Метода на случайните гори </w:t>
      </w:r>
    </w:p>
    <w:p>
      <w:pPr>
        <w:pStyle w:val="LO-normal"/>
        <w:jc w:val="both"/>
        <w:rPr/>
      </w:pPr>
      <w:r>
        <w:rPr>
          <w:rFonts w:eastAsia="Times New Roman" w:cs="Times New Roman" w:ascii="Times New Roman" w:hAnsi="Times New Roman"/>
          <w:sz w:val="22"/>
          <w:szCs w:val="22"/>
        </w:rPr>
        <w:tab/>
        <w:t>Методът на случайните гори (Random Forest) е алгоритъм за машинно самообучение, който използва ансамбъл от дървета на решения за класификация и регресия. Random Forest използва множество дървета на решения, които се обучават независимо един от друг. Всяко дърво се обучава върху случайно подмножество от данните и атрибутите на обучаващия набор.</w:t>
      </w:r>
    </w:p>
    <w:p>
      <w:pPr>
        <w:pStyle w:val="LO-normal"/>
        <w:jc w:val="both"/>
        <w:rPr/>
      </w:pPr>
      <w:r>
        <w:rPr>
          <w:rFonts w:eastAsia="Times New Roman" w:cs="Times New Roman" w:ascii="Times New Roman" w:hAnsi="Times New Roman"/>
          <w:sz w:val="22"/>
          <w:szCs w:val="22"/>
        </w:rPr>
        <w:tab/>
        <w:t xml:space="preserve">Сред предимствата на Random Forest са високата му точност, устойчивостта срещу претрениране, способността да работи с големи набори от данни и различни видове атрибути. Недостатъците включват сложността на интерпретация на резултатите и увеличеното време за обучение и класификация, особено при големи обеми от данни </w:t>
      </w:r>
      <w:r>
        <w:rPr>
          <w:rFonts w:eastAsia="Times New Roman" w:cs="Times New Roman" w:ascii="Times New Roman" w:hAnsi="Times New Roman"/>
          <w:sz w:val="22"/>
          <w:szCs w:val="22"/>
          <w:lang w:val="en-US"/>
        </w:rPr>
        <w:t>[3]</w:t>
      </w:r>
      <w:r>
        <w:rPr>
          <w:rFonts w:eastAsia="Times New Roman" w:cs="Times New Roman" w:ascii="Times New Roman" w:hAnsi="Times New Roman"/>
          <w:sz w:val="22"/>
          <w:szCs w:val="22"/>
        </w:rPr>
        <w:t>.</w:t>
      </w:r>
    </w:p>
    <w:p>
      <w:pPr>
        <w:pStyle w:val="LO-normal"/>
        <w:jc w:val="both"/>
        <w:rPr/>
      </w:pPr>
      <w:r>
        <w:rPr>
          <w:rFonts w:eastAsia="Times New Roman" w:cs="Times New Roman" w:ascii="Times New Roman" w:hAnsi="Times New Roman"/>
          <w:sz w:val="22"/>
          <w:szCs w:val="22"/>
        </w:rPr>
        <w:tab/>
      </w:r>
      <w:r>
        <w:rPr>
          <w:rFonts w:eastAsia="Times New Roman" w:cs="Times New Roman" w:ascii="Times New Roman" w:hAnsi="Times New Roman"/>
          <w:b/>
          <w:bCs/>
          <w:i/>
          <w:iCs/>
          <w:sz w:val="22"/>
          <w:szCs w:val="22"/>
        </w:rPr>
        <w:t>Логистична регресия</w:t>
      </w:r>
      <w:r>
        <w:rPr>
          <w:rFonts w:eastAsia="Times New Roman" w:cs="Times New Roman" w:ascii="Times New Roman" w:hAnsi="Times New Roman"/>
          <w:i/>
          <w:iCs/>
          <w:sz w:val="22"/>
          <w:szCs w:val="22"/>
        </w:rPr>
        <w:t xml:space="preserve">  </w:t>
      </w:r>
    </w:p>
    <w:p>
      <w:pPr>
        <w:pStyle w:val="LO-normal"/>
        <w:jc w:val="both"/>
        <w:rPr/>
      </w:pPr>
      <w:r>
        <w:rPr>
          <w:rFonts w:eastAsia="Times New Roman" w:cs="Times New Roman" w:ascii="Times New Roman" w:hAnsi="Times New Roman"/>
          <w:i/>
          <w:iCs/>
          <w:sz w:val="22"/>
          <w:szCs w:val="22"/>
        </w:rPr>
        <w:tab/>
      </w:r>
      <w:r>
        <w:rPr>
          <w:rFonts w:eastAsia="Times New Roman" w:cs="Times New Roman" w:ascii="Times New Roman" w:hAnsi="Times New Roman"/>
          <w:sz w:val="22"/>
          <w:szCs w:val="22"/>
        </w:rPr>
        <w:t xml:space="preserve">При нея зависимата променлива има само две възможни стойности (е дихотомна), като моделът пресмята вероятността </w:t>
      </w:r>
      <w:r>
        <w:rPr>
          <w:rFonts w:eastAsia="Times New Roman" w:cs="Times New Roman" w:ascii="Times New Roman" w:hAnsi="Times New Roman"/>
          <w:i/>
          <w:iCs/>
          <w:sz w:val="22"/>
          <w:szCs w:val="22"/>
        </w:rPr>
        <w:t>y</w:t>
      </w:r>
      <w:r>
        <w:rPr>
          <w:rFonts w:eastAsia="Times New Roman" w:cs="Times New Roman" w:ascii="Times New Roman" w:hAnsi="Times New Roman"/>
          <w:sz w:val="22"/>
          <w:szCs w:val="22"/>
        </w:rPr>
        <w:t xml:space="preserve"> да принадлежи към една от две категории в зависимост от стойността на </w:t>
      </w:r>
      <w:r>
        <w:rPr>
          <w:rFonts w:eastAsia="Times New Roman" w:cs="Times New Roman" w:ascii="Times New Roman" w:hAnsi="Times New Roman"/>
          <w:i/>
          <w:iCs/>
          <w:sz w:val="22"/>
          <w:szCs w:val="22"/>
        </w:rPr>
        <w:t>x</w:t>
      </w:r>
      <w:r>
        <w:rPr>
          <w:rFonts w:eastAsia="Times New Roman" w:cs="Times New Roman" w:ascii="Times New Roman" w:hAnsi="Times New Roman"/>
          <w:sz w:val="22"/>
          <w:szCs w:val="22"/>
        </w:rPr>
        <w:t>. Задава се праг (threshold) със стойност между 0 и 1, според който обектът да бъде класифициран. Например, ако сложим праг 0.5, всичко, което е с вероятност над тази граница спада към едната категория, а ако е под, е в другата категория.</w:t>
      </w:r>
    </w:p>
    <w:p>
      <w:pPr>
        <w:pStyle w:val="LO-normal"/>
        <w:jc w:val="both"/>
        <w:rPr/>
      </w:pPr>
      <w:r>
        <w:rPr>
          <w:rFonts w:eastAsia="Times New Roman" w:cs="Times New Roman" w:ascii="Times New Roman" w:hAnsi="Times New Roman"/>
          <w:sz w:val="22"/>
          <w:szCs w:val="22"/>
        </w:rPr>
        <w:tab/>
        <w:t xml:space="preserve">При логистичната регресия не се използва методът на най-малките квадрати, за да се определят стойностите на параметрите, а вместо това се използва методът на максималното правдоподобие, чрез който се избират такива параметри, при които да има максимална вероятност </w:t>
      </w:r>
      <w:r>
        <w:rPr>
          <w:rFonts w:eastAsia="Times New Roman" w:cs="Times New Roman" w:ascii="Times New Roman" w:hAnsi="Times New Roman"/>
          <w:sz w:val="22"/>
          <w:szCs w:val="22"/>
          <w:lang w:val="en-US"/>
        </w:rPr>
        <w:t>[4]</w:t>
      </w:r>
      <w:r>
        <w:rPr>
          <w:rFonts w:eastAsia="Times New Roman" w:cs="Times New Roman" w:ascii="Times New Roman" w:hAnsi="Times New Roman"/>
          <w:sz w:val="22"/>
          <w:szCs w:val="22"/>
        </w:rPr>
        <w:t>.</w:t>
      </w:r>
    </w:p>
    <w:p>
      <w:pPr>
        <w:pStyle w:val="LO-normal"/>
        <w:jc w:val="both"/>
        <w:rPr/>
      </w:pPr>
      <w:r>
        <w:rPr>
          <w:rFonts w:eastAsia="Times New Roman" w:cs="Times New Roman" w:ascii="Times New Roman" w:hAnsi="Times New Roman"/>
          <w:sz w:val="22"/>
          <w:szCs w:val="22"/>
        </w:rPr>
        <w:tab/>
      </w:r>
      <w:r>
        <w:rPr>
          <w:rFonts w:eastAsia="Times New Roman" w:cs="Times New Roman" w:ascii="Times New Roman" w:hAnsi="Times New Roman"/>
          <w:b/>
          <w:bCs/>
          <w:i/>
          <w:iCs/>
          <w:sz w:val="22"/>
          <w:szCs w:val="22"/>
        </w:rPr>
        <w:t>Метод на опорните вектори</w:t>
      </w:r>
    </w:p>
    <w:p>
      <w:pPr>
        <w:pStyle w:val="LO-normal"/>
        <w:jc w:val="both"/>
        <w:rPr/>
      </w:pPr>
      <w:r>
        <w:rPr>
          <w:rFonts w:eastAsia="Times New Roman" w:cs="Times New Roman" w:ascii="Times New Roman" w:hAnsi="Times New Roman"/>
          <w:b/>
          <w:bCs/>
          <w:i/>
          <w:iCs/>
          <w:sz w:val="22"/>
          <w:szCs w:val="22"/>
        </w:rPr>
        <w:tab/>
      </w:r>
      <w:r>
        <w:rPr>
          <w:rFonts w:eastAsia="Times New Roman" w:cs="Times New Roman" w:ascii="Times New Roman" w:hAnsi="Times New Roman"/>
          <w:sz w:val="22"/>
          <w:szCs w:val="22"/>
        </w:rPr>
        <w:t xml:space="preserve">Методът на опорните вектори (SVM, Support Vector Machines) представя обучаващите примери като точки в </w:t>
      </w:r>
      <w:r>
        <w:rPr>
          <w:rFonts w:eastAsia="Times New Roman" w:cs="Times New Roman" w:ascii="Times New Roman" w:hAnsi="Times New Roman"/>
          <w:i/>
          <w:iCs/>
          <w:sz w:val="22"/>
          <w:szCs w:val="22"/>
        </w:rPr>
        <w:t>n</w:t>
      </w:r>
      <w:r>
        <w:rPr>
          <w:rFonts w:eastAsia="Times New Roman" w:cs="Times New Roman" w:ascii="Times New Roman" w:hAnsi="Times New Roman"/>
          <w:sz w:val="22"/>
          <w:szCs w:val="22"/>
        </w:rPr>
        <w:t xml:space="preserve">-мерно пространство. Примерите са проектират в пространството по такъв начин, че да бъдат линейно разделими. При работа с два класа се търси начин да се начертае линия, която да разделя данните от двата класа. Линията, която разделя данните, се нарича разделителна хипер равнина. Тази хипер равнина трябва да се избере по такъв начин, че да се намира възможно най-далеч от примерите и на двата класа </w:t>
      </w:r>
      <w:r>
        <w:rPr>
          <w:rFonts w:eastAsia="Times New Roman" w:cs="Times New Roman" w:ascii="Times New Roman" w:hAnsi="Times New Roman"/>
          <w:sz w:val="22"/>
          <w:szCs w:val="22"/>
          <w:lang w:val="en-US"/>
        </w:rPr>
        <w:t>[5]</w:t>
      </w:r>
      <w:r>
        <w:rPr>
          <w:rFonts w:eastAsia="Times New Roman" w:cs="Times New Roman" w:ascii="Times New Roman" w:hAnsi="Times New Roman"/>
          <w:sz w:val="22"/>
          <w:szCs w:val="22"/>
        </w:rPr>
        <w:t>.</w:t>
      </w:r>
    </w:p>
    <w:p>
      <w:pPr>
        <w:pStyle w:val="LO-normal"/>
        <w:jc w:val="both"/>
        <w:rPr/>
      </w:pPr>
      <w:r>
        <w:rPr/>
      </w:r>
    </w:p>
    <w:p>
      <w:pPr>
        <w:pStyle w:val="LO-normal"/>
        <w:ind w:firstLine="720"/>
        <w:jc w:val="both"/>
        <w:rPr>
          <w:rFonts w:ascii="Times New Roman" w:hAnsi="Times New Roman" w:eastAsia="Times New Roman" w:cs="Times New Roman"/>
          <w:sz w:val="22"/>
          <w:szCs w:val="22"/>
        </w:rPr>
      </w:pPr>
      <w:r>
        <w:rPr>
          <w:rFonts w:eastAsia="Times New Roman" w:cs="Times New Roman" w:ascii="Times New Roman" w:hAnsi="Times New Roman"/>
          <w:b/>
          <w:sz w:val="22"/>
          <w:szCs w:val="22"/>
        </w:rPr>
        <w:t>Изложение</w:t>
      </w:r>
      <w:r>
        <w:rPr>
          <w:rFonts w:eastAsia="Times New Roman" w:cs="Times New Roman" w:ascii="Times New Roman" w:hAnsi="Times New Roman"/>
          <w:sz w:val="22"/>
          <w:szCs w:val="22"/>
        </w:rPr>
        <w:t xml:space="preserve"> </w:t>
      </w:r>
    </w:p>
    <w:p>
      <w:pPr>
        <w:pStyle w:val="LO-normal"/>
        <w:ind w:firstLine="720"/>
        <w:jc w:val="both"/>
        <w:rPr>
          <w:b/>
          <w:bCs/>
          <w:i/>
          <w:i/>
          <w:iCs/>
        </w:rPr>
      </w:pPr>
      <w:r>
        <w:rPr>
          <w:rFonts w:eastAsia="Times New Roman" w:cs="Times New Roman" w:ascii="Times New Roman" w:hAnsi="Times New Roman"/>
          <w:b/>
          <w:bCs/>
          <w:i/>
          <w:iCs/>
          <w:sz w:val="22"/>
          <w:szCs w:val="22"/>
        </w:rPr>
        <w:t>Класифициране на изображения с Orange с йерархия</w:t>
      </w:r>
    </w:p>
    <w:p>
      <w:pPr>
        <w:pStyle w:val="LO-normal"/>
        <w:ind w:firstLine="72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За демонстриране на възможностите за класификация на изображения със софтуерния продукт Orange е разгледан пример с различен брой изображения на животни (30 бр.) с некласифицирани снимки в една обща папка. Идеята е, от едни обикновени изображения, след подаване към класификатори да им се присвоят определени характеристики във вид, подходящ за машинно обучение и с помощта на Orange Image Analytics, да се групират (клъстеризират).</w:t>
      </w:r>
    </w:p>
    <w:p>
      <w:pPr>
        <w:pStyle w:val="LO-normal"/>
        <w:ind w:firstLine="720"/>
        <w:jc w:val="both"/>
        <w:rPr/>
      </w:pPr>
      <w:r>
        <w:rPr/>
      </w:r>
    </w:p>
    <w:p>
      <w:pPr>
        <w:pStyle w:val="LO-normal"/>
        <w:jc w:val="center"/>
        <w:rPr>
          <w:i/>
          <w:i/>
          <w:iCs/>
        </w:rPr>
      </w:pPr>
      <w:r>
        <w:rPr/>
        <w:drawing>
          <wp:inline distT="0" distB="0" distL="0" distR="0">
            <wp:extent cx="5111750" cy="82169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111750" cy="821690"/>
                    </a:xfrm>
                    <a:prstGeom prst="rect">
                      <a:avLst/>
                    </a:prstGeom>
                  </pic:spPr>
                </pic:pic>
              </a:graphicData>
            </a:graphic>
          </wp:inline>
        </w:drawing>
      </w:r>
      <w:r>
        <w:rPr>
          <w:rFonts w:eastAsia="Times New Roman" w:cs="Times New Roman" w:ascii="Times New Roman" w:hAnsi="Times New Roman"/>
          <w:i/>
          <w:iCs/>
          <w:sz w:val="22"/>
          <w:szCs w:val="22"/>
        </w:rPr>
        <w:t>Фиг. 1. Схема на свързани помежду си инструменти с цел класифициране с йерархия.</w:t>
      </w:r>
    </w:p>
    <w:p>
      <w:pPr>
        <w:pStyle w:val="LO-normal"/>
        <w:ind w:firstLine="72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LO-normal"/>
        <w:ind w:firstLine="72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На Фиг. 1 е дадена схема на свързани помежду си инструменти с цел класифициране на снимки.</w:t>
      </w:r>
    </w:p>
    <w:p>
      <w:pPr>
        <w:pStyle w:val="LO-normal"/>
        <w:ind w:firstLine="72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Приспособлението </w:t>
      </w:r>
      <w:r>
        <w:rPr>
          <w:rFonts w:eastAsia="Times New Roman" w:cs="Times New Roman" w:ascii="Times New Roman" w:hAnsi="Times New Roman"/>
          <w:i/>
          <w:iCs/>
          <w:sz w:val="22"/>
          <w:szCs w:val="22"/>
        </w:rPr>
        <w:t>„</w:t>
      </w:r>
      <w:r>
        <w:rPr>
          <w:rFonts w:eastAsia="Times New Roman" w:cs="Times New Roman" w:ascii="Times New Roman" w:hAnsi="Times New Roman"/>
          <w:i/>
          <w:iCs/>
          <w:sz w:val="22"/>
          <w:szCs w:val="22"/>
          <w:lang w:val="en-US"/>
        </w:rPr>
        <w:t>Import Images</w:t>
      </w:r>
      <w:r>
        <w:rPr>
          <w:rFonts w:eastAsia="Times New Roman" w:cs="Times New Roman" w:ascii="Times New Roman" w:hAnsi="Times New Roman"/>
          <w:i/>
          <w:iCs/>
          <w:sz w:val="22"/>
          <w:szCs w:val="22"/>
        </w:rPr>
        <w:t>“</w:t>
      </w:r>
      <w:r>
        <w:rPr>
          <w:rFonts w:eastAsia="Times New Roman" w:cs="Times New Roman" w:ascii="Times New Roman" w:hAnsi="Times New Roman"/>
          <w:sz w:val="22"/>
          <w:szCs w:val="22"/>
        </w:rPr>
        <w:t xml:space="preserve"> опростява процеса на импортиране и предварителна обработка на данни за изображения в Orange, което улеснява анализирането и извличането на значими прозрения от наборите от данни за изображения.</w:t>
      </w:r>
    </w:p>
    <w:p>
      <w:pPr>
        <w:pStyle w:val="LO-normal"/>
        <w:ind w:firstLine="72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Приспособлението </w:t>
      </w:r>
      <w:r>
        <w:rPr>
          <w:rFonts w:eastAsia="Times New Roman" w:cs="Times New Roman" w:ascii="Times New Roman" w:hAnsi="Times New Roman"/>
          <w:i/>
          <w:iCs/>
          <w:sz w:val="22"/>
          <w:szCs w:val="22"/>
        </w:rPr>
        <w:t>„</w:t>
      </w:r>
      <w:r>
        <w:rPr>
          <w:rFonts w:eastAsia="Times New Roman" w:cs="Times New Roman" w:ascii="Times New Roman" w:hAnsi="Times New Roman"/>
          <w:i/>
          <w:iCs/>
          <w:sz w:val="22"/>
          <w:szCs w:val="22"/>
          <w:lang w:val="en-US"/>
        </w:rPr>
        <w:t>Image Embedding</w:t>
      </w:r>
      <w:r>
        <w:rPr>
          <w:rFonts w:eastAsia="Times New Roman" w:cs="Times New Roman" w:ascii="Times New Roman" w:hAnsi="Times New Roman"/>
          <w:i/>
          <w:iCs/>
          <w:sz w:val="22"/>
          <w:szCs w:val="22"/>
        </w:rPr>
        <w:t>“</w:t>
      </w:r>
      <w:r>
        <w:rPr>
          <w:rFonts w:eastAsia="Times New Roman" w:cs="Times New Roman" w:ascii="Times New Roman" w:hAnsi="Times New Roman"/>
          <w:sz w:val="22"/>
          <w:szCs w:val="22"/>
        </w:rPr>
        <w:t xml:space="preserve"> трансформира високоизмерни данни за изображения в по-нискоизмерно представяне, като същевременно запазва връзките на подобие. Това позволява по-лесна визуализация, анализ и обработка на данни за изображенията.</w:t>
      </w:r>
    </w:p>
    <w:p>
      <w:pPr>
        <w:pStyle w:val="LO-normal"/>
        <w:ind w:firstLine="72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Инструментът </w:t>
      </w:r>
      <w:r>
        <w:rPr>
          <w:rFonts w:eastAsia="Times New Roman" w:cs="Times New Roman" w:ascii="Times New Roman" w:hAnsi="Times New Roman"/>
          <w:i/>
          <w:iCs/>
          <w:sz w:val="22"/>
          <w:szCs w:val="22"/>
        </w:rPr>
        <w:t>„</w:t>
      </w:r>
      <w:r>
        <w:rPr>
          <w:rFonts w:eastAsia="Times New Roman" w:cs="Times New Roman" w:ascii="Times New Roman" w:hAnsi="Times New Roman"/>
          <w:i/>
          <w:iCs/>
          <w:sz w:val="22"/>
          <w:szCs w:val="22"/>
          <w:lang w:val="en-US"/>
        </w:rPr>
        <w:t>Distances</w:t>
      </w:r>
      <w:r>
        <w:rPr>
          <w:rFonts w:eastAsia="Times New Roman" w:cs="Times New Roman" w:ascii="Times New Roman" w:hAnsi="Times New Roman"/>
          <w:i/>
          <w:iCs/>
          <w:sz w:val="22"/>
          <w:szCs w:val="22"/>
        </w:rPr>
        <w:t>“</w:t>
      </w:r>
      <w:r>
        <w:rPr>
          <w:rFonts w:eastAsia="Times New Roman" w:cs="Times New Roman" w:ascii="Times New Roman" w:hAnsi="Times New Roman"/>
          <w:sz w:val="22"/>
          <w:szCs w:val="22"/>
        </w:rPr>
        <w:t xml:space="preserve"> изчислява разстояния по двойки или прилики между екземпляри в набор от данни. Това дава възможност за изследване на връзките между точките от данни, подпомагайки задачи като групиране, класификация или визуализация.</w:t>
      </w:r>
    </w:p>
    <w:p>
      <w:pPr>
        <w:pStyle w:val="LO-normal"/>
        <w:ind w:firstLine="72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Инструментът </w:t>
      </w:r>
      <w:r>
        <w:rPr>
          <w:rFonts w:eastAsia="Times New Roman" w:cs="Times New Roman" w:ascii="Times New Roman" w:hAnsi="Times New Roman"/>
          <w:i/>
          <w:iCs/>
          <w:sz w:val="22"/>
          <w:szCs w:val="22"/>
        </w:rPr>
        <w:t>„</w:t>
      </w:r>
      <w:r>
        <w:rPr>
          <w:rFonts w:eastAsia="Times New Roman" w:cs="Times New Roman" w:ascii="Times New Roman" w:hAnsi="Times New Roman"/>
          <w:i/>
          <w:iCs/>
          <w:sz w:val="22"/>
          <w:szCs w:val="22"/>
          <w:lang w:val="en-US"/>
        </w:rPr>
        <w:t>Hierarchical Clustering</w:t>
      </w:r>
      <w:r>
        <w:rPr>
          <w:rFonts w:eastAsia="Times New Roman" w:cs="Times New Roman" w:ascii="Times New Roman" w:hAnsi="Times New Roman"/>
          <w:i/>
          <w:iCs/>
          <w:sz w:val="22"/>
          <w:szCs w:val="22"/>
        </w:rPr>
        <w:t>“</w:t>
      </w:r>
      <w:r>
        <w:rPr>
          <w:rFonts w:eastAsia="Times New Roman" w:cs="Times New Roman" w:ascii="Times New Roman" w:hAnsi="Times New Roman"/>
          <w:sz w:val="22"/>
          <w:szCs w:val="22"/>
        </w:rPr>
        <w:t xml:space="preserve"> извършва йерархично клъстериране върху набор от данни, като групира подобни екземпляри заедно в йерархична дървовидна структура. Това дава възможност за изследване на присъщи структури в рамките на данните и може да се използва за задачи като изследване на данни, визуализация и идентифициране на клъстери.</w:t>
      </w:r>
    </w:p>
    <w:p>
      <w:pPr>
        <w:pStyle w:val="LO-normal"/>
        <w:ind w:firstLine="720"/>
        <w:jc w:val="both"/>
        <w:rPr>
          <w:rFonts w:ascii="Times New Roman" w:hAnsi="Times New Roman" w:eastAsia="Times New Roman" w:cs="Times New Roman"/>
          <w:sz w:val="22"/>
          <w:szCs w:val="22"/>
        </w:rPr>
      </w:pPr>
      <w:r>
        <w:rPr>
          <w:rFonts w:eastAsia="Times New Roman" w:cs="Times New Roman" w:ascii="Times New Roman" w:hAnsi="Times New Roman"/>
          <w:i/>
          <w:iCs/>
          <w:sz w:val="22"/>
          <w:szCs w:val="22"/>
        </w:rPr>
        <w:t>„</w:t>
      </w:r>
      <w:r>
        <w:rPr>
          <w:rFonts w:eastAsia="Times New Roman" w:cs="Times New Roman" w:ascii="Times New Roman" w:hAnsi="Times New Roman"/>
          <w:i/>
          <w:iCs/>
          <w:sz w:val="22"/>
          <w:szCs w:val="22"/>
          <w:lang w:val="en-US"/>
        </w:rPr>
        <w:t>Image Viewer</w:t>
      </w:r>
      <w:r>
        <w:rPr>
          <w:rFonts w:eastAsia="Times New Roman" w:cs="Times New Roman" w:ascii="Times New Roman" w:hAnsi="Times New Roman"/>
          <w:i/>
          <w:iCs/>
          <w:sz w:val="22"/>
          <w:szCs w:val="22"/>
        </w:rPr>
        <w:t>“</w:t>
      </w:r>
      <w:r>
        <w:rPr>
          <w:rFonts w:eastAsia="Times New Roman" w:cs="Times New Roman" w:ascii="Times New Roman" w:hAnsi="Times New Roman"/>
          <w:sz w:val="22"/>
          <w:szCs w:val="22"/>
        </w:rPr>
        <w:t xml:space="preserve"> служи за преглед на изображения в Orange и позволява да се преглеждат и проверяват изображения от своята подгрупа от данни. Това предоставя удобен начин за визуално изследване на данните за изображения и проверка на стъпките за предварителна обработка преди по-нататъшен анализ или задачи за машинно обучение.</w:t>
      </w:r>
    </w:p>
    <w:p>
      <w:pPr>
        <w:pStyle w:val="LO-normal"/>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tbl>
      <w:tblPr>
        <w:tblStyle w:val="TableGrid"/>
        <w:tblW w:w="866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023"/>
        <w:gridCol w:w="4638"/>
      </w:tblGrid>
      <w:tr>
        <w:trPr/>
        <w:tc>
          <w:tcPr>
            <w:tcW w:w="4023" w:type="dxa"/>
            <w:tcBorders>
              <w:top w:val="nil"/>
              <w:left w:val="nil"/>
              <w:bottom w:val="nil"/>
              <w:right w:val="nil"/>
            </w:tcBorders>
          </w:tcPr>
          <w:p>
            <w:pPr>
              <w:pStyle w:val="LO-normal"/>
              <w:widowControl/>
              <w:suppressAutoHyphens w:val="true"/>
              <w:spacing w:before="0" w:after="0"/>
              <w:jc w:val="both"/>
              <w:rPr>
                <w:rFonts w:ascii="Times New Roman" w:hAnsi="Times New Roman" w:eastAsia="Times New Roman" w:cs="Times New Roman"/>
                <w:sz w:val="22"/>
                <w:szCs w:val="22"/>
              </w:rPr>
            </w:pPr>
            <w:r>
              <w:rPr>
                <w:kern w:val="0"/>
                <w:lang w:val="en-US" w:eastAsia="en-US" w:bidi="my-MM"/>
              </w:rPr>
              <w:drawing>
                <wp:inline distT="0" distB="0" distL="0" distR="0">
                  <wp:extent cx="2712085" cy="189293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2712085" cy="1892935"/>
                          </a:xfrm>
                          <a:prstGeom prst="rect">
                            <a:avLst/>
                          </a:prstGeom>
                        </pic:spPr>
                      </pic:pic>
                    </a:graphicData>
                  </a:graphic>
                </wp:inline>
              </w:drawing>
            </w:r>
          </w:p>
        </w:tc>
        <w:tc>
          <w:tcPr>
            <w:tcW w:w="4638" w:type="dxa"/>
            <w:tcBorders>
              <w:top w:val="nil"/>
              <w:left w:val="nil"/>
              <w:bottom w:val="nil"/>
              <w:right w:val="nil"/>
            </w:tcBorders>
          </w:tcPr>
          <w:p>
            <w:pPr>
              <w:pStyle w:val="LO-normal"/>
              <w:widowControl/>
              <w:suppressAutoHyphens w:val="true"/>
              <w:spacing w:before="0" w:after="0"/>
              <w:jc w:val="both"/>
              <w:rPr>
                <w:rFonts w:ascii="Times New Roman" w:hAnsi="Times New Roman" w:eastAsia="Times New Roman" w:cs="Times New Roman"/>
                <w:sz w:val="22"/>
                <w:szCs w:val="22"/>
              </w:rPr>
            </w:pPr>
            <w:r>
              <w:rPr>
                <w:kern w:val="0"/>
                <w:lang w:val="en-US" w:eastAsia="en-US" w:bidi="my-MM"/>
              </w:rPr>
              <w:drawing>
                <wp:inline distT="0" distB="0" distL="0" distR="0">
                  <wp:extent cx="2868930" cy="189293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2868930" cy="1892935"/>
                          </a:xfrm>
                          <a:prstGeom prst="rect">
                            <a:avLst/>
                          </a:prstGeom>
                        </pic:spPr>
                      </pic:pic>
                    </a:graphicData>
                  </a:graphic>
                </wp:inline>
              </w:drawing>
            </w:r>
          </w:p>
        </w:tc>
      </w:tr>
      <w:tr>
        <w:trPr/>
        <w:tc>
          <w:tcPr>
            <w:tcW w:w="4023" w:type="dxa"/>
            <w:tcBorders>
              <w:top w:val="nil"/>
              <w:left w:val="nil"/>
              <w:bottom w:val="nil"/>
              <w:right w:val="nil"/>
            </w:tcBorders>
          </w:tcPr>
          <w:p>
            <w:pPr>
              <w:pStyle w:val="LO-normal"/>
              <w:widowControl/>
              <w:suppressAutoHyphens w:val="true"/>
              <w:spacing w:before="0" w:after="0"/>
              <w:jc w:val="center"/>
              <w:rPr>
                <w:rFonts w:ascii="Times New Roman" w:hAnsi="Times New Roman" w:eastAsia="Times New Roman" w:cs="Times New Roman"/>
                <w:i/>
                <w:i/>
                <w:iCs/>
                <w:lang w:val="bg-BG"/>
              </w:rPr>
            </w:pPr>
            <w:r>
              <w:rPr>
                <w:rFonts w:eastAsia="Times New Roman" w:cs="Times New Roman" w:ascii="Times New Roman" w:hAnsi="Times New Roman"/>
                <w:i/>
                <w:iCs/>
                <w:kern w:val="0"/>
                <w:sz w:val="20"/>
                <w:szCs w:val="20"/>
                <w:lang w:val="bg-BG" w:eastAsia="en-US" w:bidi="my-MM"/>
              </w:rPr>
              <w:t>Фиг. 2. Резултат след клъстеризиране на данните и преглед на разпределението им.</w:t>
            </w:r>
          </w:p>
        </w:tc>
        <w:tc>
          <w:tcPr>
            <w:tcW w:w="4638" w:type="dxa"/>
            <w:tcBorders>
              <w:top w:val="nil"/>
              <w:left w:val="nil"/>
              <w:bottom w:val="nil"/>
              <w:right w:val="nil"/>
            </w:tcBorders>
          </w:tcPr>
          <w:p>
            <w:pPr>
              <w:pStyle w:val="LO-normal"/>
              <w:widowControl/>
              <w:suppressAutoHyphens w:val="true"/>
              <w:spacing w:before="0" w:after="0"/>
              <w:jc w:val="center"/>
              <w:rPr>
                <w:rFonts w:ascii="Times New Roman" w:hAnsi="Times New Roman" w:eastAsia="Times New Roman" w:cs="Times New Roman"/>
                <w:i/>
                <w:i/>
                <w:iCs/>
                <w:lang w:val="bg-BG"/>
              </w:rPr>
            </w:pPr>
            <w:r>
              <w:rPr>
                <w:rFonts w:eastAsia="Courier New" w:cs="Courier New" w:ascii="Times New Roman" w:hAnsi="Times New Roman"/>
                <w:i/>
                <w:iCs/>
                <w:color w:val="000000"/>
                <w:kern w:val="0"/>
                <w:sz w:val="20"/>
                <w:szCs w:val="20"/>
                <w:lang w:val="bg-BG" w:eastAsia="en-US" w:bidi="my-MM"/>
              </w:rPr>
              <w:t>Фиг. 3. Визуализиране на данните на база подредбата и избраната подгрупа на Фиг. 2.</w:t>
            </w:r>
          </w:p>
        </w:tc>
      </w:tr>
    </w:tbl>
    <w:p>
      <w:pPr>
        <w:pStyle w:val="LO-normal"/>
        <w:jc w:val="both"/>
        <w:rPr/>
      </w:pPr>
      <w:r>
        <w:rPr>
          <w:rFonts w:ascii="Times New Roman" w:hAnsi="Times New Roman"/>
          <w:sz w:val="22"/>
          <w:szCs w:val="22"/>
        </w:rPr>
        <w:tab/>
      </w:r>
    </w:p>
    <w:p>
      <w:pPr>
        <w:pStyle w:val="LO-normal"/>
        <w:jc w:val="both"/>
        <w:rPr/>
      </w:pPr>
      <w:r>
        <w:rPr>
          <w:rFonts w:ascii="Times New Roman" w:hAnsi="Times New Roman"/>
          <w:sz w:val="22"/>
          <w:szCs w:val="22"/>
        </w:rPr>
        <w:tab/>
        <w:t>На Фиг. 2 е представен резултатът от категоризирането на данните на групи и подгрупи, а в на Фиг. 3 - тяхната визуализация в снимки спрямо избора на подгрупа от Фиг. 2. Може да се отбележи, че моделът</w:t>
      </w:r>
      <w:r>
        <w:rPr>
          <w:rFonts w:ascii="Times New Roman" w:hAnsi="Times New Roman"/>
          <w:sz w:val="22"/>
          <w:szCs w:val="22"/>
          <w:lang w:val="en-US"/>
        </w:rPr>
        <w:t xml:space="preserve"> </w:t>
      </w:r>
      <w:r>
        <w:rPr>
          <w:rFonts w:ascii="Times New Roman" w:hAnsi="Times New Roman"/>
          <w:sz w:val="22"/>
          <w:szCs w:val="22"/>
        </w:rPr>
        <w:t xml:space="preserve">се е справила изключително добре с отделянето на котките от кучетата и змиите и т.н. Вляво е избрана категория и вдясно се визуализират всички котки (10 бр.), т.е. няма смесване на различни видове животни освен в 1 група, където кучетата и котките са заедно (20 бр.). </w:t>
      </w:r>
    </w:p>
    <w:p>
      <w:pPr>
        <w:pStyle w:val="LO-normal"/>
        <w:jc w:val="both"/>
        <w:rPr>
          <w:rFonts w:ascii="Times New Roman" w:hAnsi="Times New Roman"/>
          <w:sz w:val="22"/>
          <w:szCs w:val="22"/>
        </w:rPr>
      </w:pPr>
      <w:r>
        <w:rPr>
          <w:rFonts w:ascii="Times New Roman" w:hAnsi="Times New Roman"/>
          <w:sz w:val="22"/>
          <w:szCs w:val="22"/>
        </w:rPr>
        <w:tab/>
      </w:r>
    </w:p>
    <w:p>
      <w:pPr>
        <w:pStyle w:val="LO-normal"/>
        <w:jc w:val="both"/>
        <w:rPr/>
      </w:pPr>
      <w:r>
        <w:rPr/>
      </w:r>
    </w:p>
    <w:p>
      <w:pPr>
        <w:pStyle w:val="LO-normal"/>
        <w:jc w:val="both"/>
        <w:rPr>
          <w:i/>
          <w:i/>
          <w:iCs/>
        </w:rPr>
      </w:pPr>
      <w:r>
        <w:rPr>
          <w:rFonts w:ascii="Times New Roman" w:hAnsi="Times New Roman"/>
          <w:sz w:val="22"/>
          <w:szCs w:val="22"/>
        </w:rPr>
        <w:tab/>
      </w:r>
      <w:r>
        <w:rPr>
          <w:rFonts w:ascii="Times New Roman" w:hAnsi="Times New Roman"/>
          <w:b/>
          <w:bCs/>
          <w:i/>
          <w:iCs/>
          <w:sz w:val="22"/>
          <w:szCs w:val="22"/>
        </w:rPr>
        <w:t>Класифициране на изображения с Orange</w:t>
      </w:r>
      <w:r>
        <w:rPr>
          <w:rFonts w:ascii="Times New Roman" w:hAnsi="Times New Roman"/>
          <w:b/>
          <w:bCs/>
          <w:i/>
          <w:iCs/>
          <w:sz w:val="22"/>
          <w:szCs w:val="22"/>
          <w:lang w:val="en-US"/>
        </w:rPr>
        <w:t xml:space="preserve"> б</w:t>
      </w:r>
      <w:r>
        <w:rPr>
          <w:rFonts w:ascii="Times New Roman" w:hAnsi="Times New Roman"/>
          <w:b/>
          <w:bCs/>
          <w:i/>
          <w:iCs/>
          <w:sz w:val="22"/>
          <w:szCs w:val="22"/>
        </w:rPr>
        <w:t>ез</w:t>
      </w:r>
      <w:r>
        <w:rPr>
          <w:rFonts w:ascii="Times New Roman" w:hAnsi="Times New Roman"/>
          <w:b/>
          <w:bCs/>
          <w:i/>
          <w:iCs/>
          <w:sz w:val="22"/>
          <w:szCs w:val="22"/>
          <w:lang w:val="en-US"/>
        </w:rPr>
        <w:t xml:space="preserve"> </w:t>
      </w:r>
      <w:r>
        <w:rPr>
          <w:rFonts w:ascii="Times New Roman" w:hAnsi="Times New Roman"/>
          <w:b/>
          <w:bCs/>
          <w:i/>
          <w:iCs/>
          <w:sz w:val="22"/>
          <w:szCs w:val="22"/>
        </w:rPr>
        <w:t>йерархия</w:t>
      </w:r>
    </w:p>
    <w:p>
      <w:pPr>
        <w:pStyle w:val="LO-normal"/>
        <w:ind w:firstLine="72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За демонстриране на възможностите за класификация на изображения със софтуерния продукт Orange е разгледан пример с различен брой изображения на животни (30 бр.), групирани в една папка, но</w:t>
      </w:r>
      <w:r>
        <w:rPr>
          <w:rFonts w:eastAsia="Times New Roman" w:cs="Times New Roman" w:ascii="Times New Roman" w:hAnsi="Times New Roman"/>
          <w:sz w:val="22"/>
          <w:szCs w:val="22"/>
          <w:lang w:val="en-US"/>
        </w:rPr>
        <w:t xml:space="preserve"> в три </w:t>
      </w:r>
      <w:r>
        <w:rPr>
          <w:rFonts w:eastAsia="Times New Roman" w:cs="Times New Roman" w:ascii="Times New Roman" w:hAnsi="Times New Roman"/>
          <w:sz w:val="22"/>
          <w:szCs w:val="22"/>
        </w:rPr>
        <w:t>отделни подпапки: котки (10 бр.), кучета (10 бр.) и змии (10 бр.). Целта е същата като в предишния пример, а именно да класифицира снимките спрямо вида животно, но схемата е различна:</w:t>
      </w:r>
    </w:p>
    <w:p>
      <w:pPr>
        <w:pStyle w:val="LO-normal"/>
        <w:ind w:firstLine="720"/>
        <w:jc w:val="both"/>
        <w:rPr/>
      </w:pPr>
      <w:r>
        <w:rPr/>
      </w:r>
    </w:p>
    <w:p>
      <w:pPr>
        <w:pStyle w:val="LO-normal"/>
        <w:jc w:val="center"/>
        <w:rPr/>
      </w:pPr>
      <w:r>
        <w:rPr/>
        <w:drawing>
          <wp:inline distT="0" distB="0" distL="0" distR="0">
            <wp:extent cx="2823845" cy="196913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2823845" cy="1969135"/>
                    </a:xfrm>
                    <a:prstGeom prst="rect">
                      <a:avLst/>
                    </a:prstGeom>
                  </pic:spPr>
                </pic:pic>
              </a:graphicData>
            </a:graphic>
          </wp:inline>
        </w:drawing>
      </w:r>
    </w:p>
    <w:p>
      <w:pPr>
        <w:pStyle w:val="LO-normal"/>
        <w:jc w:val="center"/>
        <w:rPr>
          <w:rFonts w:ascii="Times New Roman" w:hAnsi="Times New Roman" w:eastAsia="Times New Roman" w:cs="Times New Roman"/>
          <w:i/>
          <w:i/>
          <w:iCs/>
          <w:sz w:val="22"/>
          <w:szCs w:val="22"/>
        </w:rPr>
      </w:pPr>
      <w:r>
        <w:rPr>
          <w:rFonts w:eastAsia="Times New Roman" w:cs="Times New Roman" w:ascii="Times New Roman" w:hAnsi="Times New Roman"/>
          <w:i/>
          <w:iCs/>
          <w:sz w:val="22"/>
          <w:szCs w:val="22"/>
        </w:rPr>
        <w:t xml:space="preserve">Фиг. 4. Схема на петте модела за обучение, инструмент </w:t>
      </w:r>
      <w:r>
        <w:rPr>
          <w:rFonts w:eastAsia="Times New Roman" w:cs="Times New Roman" w:ascii="Times New Roman" w:hAnsi="Times New Roman"/>
          <w:i/>
          <w:iCs/>
          <w:sz w:val="22"/>
          <w:szCs w:val="22"/>
          <w:lang w:val="en-US"/>
        </w:rPr>
        <w:t xml:space="preserve">Test and Score </w:t>
      </w:r>
      <w:r>
        <w:rPr>
          <w:rFonts w:eastAsia="Times New Roman" w:cs="Times New Roman" w:ascii="Times New Roman" w:hAnsi="Times New Roman"/>
          <w:i/>
          <w:iCs/>
          <w:sz w:val="22"/>
          <w:szCs w:val="22"/>
        </w:rPr>
        <w:t>и Матрица на объркването.</w:t>
      </w:r>
    </w:p>
    <w:p>
      <w:pPr>
        <w:pStyle w:val="LO-normal"/>
        <w:ind w:firstLine="72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LO-normal"/>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b/>
        <w:t>На Фиг. 4 е представена схема, на която са изведени петте модела за</w:t>
      </w:r>
      <w:r>
        <w:rPr>
          <w:rFonts w:eastAsia="Times New Roman" w:cs="Times New Roman" w:ascii="Times New Roman" w:hAnsi="Times New Roman"/>
          <w:sz w:val="22"/>
          <w:szCs w:val="22"/>
          <w:lang w:val="en-US"/>
        </w:rPr>
        <w:t xml:space="preserve"> </w:t>
      </w:r>
      <w:r>
        <w:rPr>
          <w:rFonts w:eastAsia="Times New Roman" w:cs="Times New Roman" w:ascii="Times New Roman" w:hAnsi="Times New Roman"/>
          <w:sz w:val="22"/>
          <w:szCs w:val="22"/>
        </w:rPr>
        <w:t>обучение: логистична регресия, метод на най-близките съседи, случайна гора, метод на опорните вектори и изкуствена невронна мрежа с 1 скрит слой и 100 изкуствени неврона. Те са свързани към инструмента Test and Score, където се извършва обучението и оценяването им, а след него е свързан инструмента „Матрица на</w:t>
      </w:r>
      <w:r>
        <w:rPr>
          <w:rFonts w:eastAsia="Times New Roman" w:cs="Times New Roman" w:ascii="Times New Roman" w:hAnsi="Times New Roman"/>
          <w:sz w:val="22"/>
          <w:szCs w:val="22"/>
          <w:lang w:val="en-US"/>
        </w:rPr>
        <w:t xml:space="preserve"> </w:t>
      </w:r>
      <w:r>
        <w:rPr>
          <w:rFonts w:eastAsia="Times New Roman" w:cs="Times New Roman" w:ascii="Times New Roman" w:hAnsi="Times New Roman"/>
          <w:sz w:val="22"/>
          <w:szCs w:val="22"/>
        </w:rPr>
        <w:t>объркването“, където може да се види всеки един модел къде е сбъркал при</w:t>
      </w:r>
      <w:r>
        <w:rPr>
          <w:rFonts w:eastAsia="Times New Roman" w:cs="Times New Roman" w:ascii="Times New Roman" w:hAnsi="Times New Roman"/>
          <w:sz w:val="22"/>
          <w:szCs w:val="22"/>
          <w:lang w:val="en-US"/>
        </w:rPr>
        <w:t xml:space="preserve"> </w:t>
      </w:r>
      <w:r>
        <w:rPr>
          <w:rFonts w:eastAsia="Times New Roman" w:cs="Times New Roman" w:ascii="Times New Roman" w:hAnsi="Times New Roman"/>
          <w:sz w:val="22"/>
          <w:szCs w:val="22"/>
        </w:rPr>
        <w:t>класифицирането на изображенията.</w:t>
      </w:r>
    </w:p>
    <w:p>
      <w:pPr>
        <w:pStyle w:val="LO-normal"/>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b/>
        <w:t>На Фиг. 5 е показан резултатът от обучението на избраните модели, където</w:t>
      </w:r>
      <w:r>
        <w:rPr>
          <w:rFonts w:eastAsia="Times New Roman" w:cs="Times New Roman" w:ascii="Times New Roman" w:hAnsi="Times New Roman"/>
          <w:sz w:val="22"/>
          <w:szCs w:val="22"/>
          <w:lang w:val="en-US"/>
        </w:rPr>
        <w:t xml:space="preserve"> </w:t>
      </w:r>
      <w:r>
        <w:rPr>
          <w:rFonts w:eastAsia="Times New Roman" w:cs="Times New Roman" w:ascii="Times New Roman" w:hAnsi="Times New Roman"/>
          <w:sz w:val="22"/>
          <w:szCs w:val="22"/>
        </w:rPr>
        <w:t>може да се види, че невронната мрежа дава най-добри резултати за точност на класифициране спрямо всички показатели – 1.000 или 100% правилно класифицирани снимки, а най-лоши резултати за точност дава методът на случайните гори (</w:t>
      </w:r>
      <w:r>
        <w:rPr>
          <w:rFonts w:eastAsia="Times New Roman" w:cs="Times New Roman" w:ascii="Times New Roman" w:hAnsi="Times New Roman"/>
          <w:sz w:val="22"/>
          <w:szCs w:val="22"/>
          <w:lang w:val="en-US"/>
        </w:rPr>
        <w:t>0.929</w:t>
      </w:r>
      <w:r>
        <w:rPr>
          <w:rFonts w:eastAsia="Times New Roman" w:cs="Times New Roman" w:ascii="Times New Roman" w:hAnsi="Times New Roman"/>
          <w:sz w:val="22"/>
          <w:szCs w:val="22"/>
        </w:rPr>
        <w:t xml:space="preserve"> за AUC </w:t>
      </w:r>
      <w:r>
        <w:rPr>
          <w:rFonts w:eastAsia="Times New Roman" w:cs="Times New Roman" w:ascii="Times New Roman" w:hAnsi="Times New Roman"/>
          <w:sz w:val="22"/>
          <w:szCs w:val="22"/>
          <w:lang w:val="en-US"/>
        </w:rPr>
        <w:t>(</w:t>
      </w:r>
      <w:r>
        <w:rPr>
          <w:rFonts w:eastAsia="Times New Roman" w:cs="Times New Roman" w:ascii="Times New Roman" w:hAnsi="Times New Roman"/>
          <w:sz w:val="22"/>
          <w:szCs w:val="22"/>
        </w:rPr>
        <w:t xml:space="preserve">Area Under the Curve), което е мярка за оценка на качеството на моделите за класификация и под </w:t>
      </w:r>
      <w:r>
        <w:rPr>
          <w:rFonts w:eastAsia="Times New Roman" w:cs="Times New Roman" w:ascii="Times New Roman" w:hAnsi="Times New Roman"/>
          <w:sz w:val="22"/>
          <w:szCs w:val="22"/>
          <w:lang w:val="en-US"/>
        </w:rPr>
        <w:t>0.842</w:t>
      </w:r>
      <w:r>
        <w:rPr>
          <w:rFonts w:eastAsia="Times New Roman" w:cs="Times New Roman" w:ascii="Times New Roman" w:hAnsi="Times New Roman"/>
          <w:sz w:val="22"/>
          <w:szCs w:val="22"/>
        </w:rPr>
        <w:t xml:space="preserve"> за останалите показатели за точност на модела).</w:t>
      </w:r>
    </w:p>
    <w:p>
      <w:pPr>
        <w:pStyle w:val="LO-normal"/>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b/>
      </w:r>
    </w:p>
    <w:tbl>
      <w:tblPr>
        <w:tblStyle w:val="TableGrid"/>
        <w:tblW w:w="819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095"/>
        <w:gridCol w:w="4094"/>
      </w:tblGrid>
      <w:tr>
        <w:trPr/>
        <w:tc>
          <w:tcPr>
            <w:tcW w:w="4095" w:type="dxa"/>
            <w:tcBorders>
              <w:top w:val="nil"/>
              <w:left w:val="nil"/>
              <w:bottom w:val="nil"/>
              <w:right w:val="nil"/>
            </w:tcBorders>
          </w:tcPr>
          <w:p>
            <w:pPr>
              <w:pStyle w:val="LO-normal"/>
              <w:widowControl/>
              <w:suppressAutoHyphens w:val="true"/>
              <w:spacing w:before="0" w:after="0"/>
              <w:jc w:val="both"/>
              <w:rPr>
                <w:rFonts w:ascii="Times New Roman" w:hAnsi="Times New Roman" w:eastAsia="Times New Roman" w:cs="Times New Roman"/>
                <w:sz w:val="22"/>
                <w:szCs w:val="22"/>
              </w:rPr>
            </w:pPr>
            <w:r>
              <w:rPr>
                <w:kern w:val="0"/>
                <w:lang w:val="en-US" w:eastAsia="en-US" w:bidi="my-MM"/>
              </w:rPr>
              <w:drawing>
                <wp:inline distT="0" distB="0" distL="0" distR="0">
                  <wp:extent cx="2322195" cy="106489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2322195" cy="1064895"/>
                          </a:xfrm>
                          <a:prstGeom prst="rect">
                            <a:avLst/>
                          </a:prstGeom>
                        </pic:spPr>
                      </pic:pic>
                    </a:graphicData>
                  </a:graphic>
                </wp:inline>
              </w:drawing>
            </w:r>
          </w:p>
        </w:tc>
        <w:tc>
          <w:tcPr>
            <w:tcW w:w="4094" w:type="dxa"/>
            <w:tcBorders>
              <w:top w:val="nil"/>
              <w:left w:val="nil"/>
              <w:bottom w:val="nil"/>
              <w:right w:val="nil"/>
            </w:tcBorders>
          </w:tcPr>
          <w:p>
            <w:pPr>
              <w:pStyle w:val="LO-normal"/>
              <w:widowControl/>
              <w:suppressAutoHyphens w:val="true"/>
              <w:spacing w:before="0" w:after="0"/>
              <w:jc w:val="both"/>
              <w:rPr>
                <w:rFonts w:ascii="Times New Roman" w:hAnsi="Times New Roman" w:eastAsia="Times New Roman" w:cs="Times New Roman"/>
                <w:sz w:val="22"/>
                <w:szCs w:val="22"/>
              </w:rPr>
            </w:pPr>
            <w:r>
              <w:rPr>
                <w:kern w:val="0"/>
                <w:lang w:val="en-US" w:eastAsia="en-US" w:bidi="my-MM"/>
              </w:rPr>
              <w:drawing>
                <wp:inline distT="0" distB="0" distL="0" distR="0">
                  <wp:extent cx="2322195" cy="104267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2322195" cy="1042670"/>
                          </a:xfrm>
                          <a:prstGeom prst="rect">
                            <a:avLst/>
                          </a:prstGeom>
                        </pic:spPr>
                      </pic:pic>
                    </a:graphicData>
                  </a:graphic>
                </wp:inline>
              </w:drawing>
            </w:r>
          </w:p>
        </w:tc>
      </w:tr>
      <w:tr>
        <w:trPr/>
        <w:tc>
          <w:tcPr>
            <w:tcW w:w="4095" w:type="dxa"/>
            <w:tcBorders>
              <w:top w:val="nil"/>
              <w:left w:val="nil"/>
              <w:bottom w:val="nil"/>
              <w:right w:val="nil"/>
            </w:tcBorders>
          </w:tcPr>
          <w:p>
            <w:pPr>
              <w:pStyle w:val="Caption1"/>
              <w:widowControl/>
              <w:suppressAutoHyphens w:val="true"/>
              <w:spacing w:before="0" w:after="0"/>
              <w:jc w:val="center"/>
              <w:rPr>
                <w:rFonts w:ascii="Times New Roman" w:hAnsi="Times New Roman"/>
                <w:sz w:val="22"/>
                <w:szCs w:val="22"/>
                <w:lang w:val="bg-BG"/>
              </w:rPr>
            </w:pPr>
            <w:r>
              <w:rPr>
                <w:rFonts w:eastAsia="Courier New" w:ascii="Times New Roman" w:hAnsi="Times New Roman"/>
                <w:kern w:val="0"/>
                <w:sz w:val="22"/>
                <w:szCs w:val="22"/>
                <w:lang w:val="bg-BG" w:bidi="my-MM"/>
              </w:rPr>
              <w:t>Фиг. 5. Резултати от обучението.</w:t>
            </w:r>
          </w:p>
        </w:tc>
        <w:tc>
          <w:tcPr>
            <w:tcW w:w="4094" w:type="dxa"/>
            <w:tcBorders>
              <w:top w:val="nil"/>
              <w:left w:val="nil"/>
              <w:bottom w:val="nil"/>
              <w:right w:val="nil"/>
            </w:tcBorders>
          </w:tcPr>
          <w:p>
            <w:pPr>
              <w:pStyle w:val="Caption1"/>
              <w:widowControl/>
              <w:suppressAutoHyphens w:val="true"/>
              <w:spacing w:before="0" w:after="0"/>
              <w:jc w:val="center"/>
              <w:rPr>
                <w:rFonts w:ascii="Times New Roman" w:hAnsi="Times New Roman"/>
                <w:sz w:val="22"/>
                <w:szCs w:val="22"/>
                <w:lang w:val="bg-BG"/>
              </w:rPr>
            </w:pPr>
            <w:r>
              <w:rPr>
                <w:rFonts w:eastAsia="Courier New" w:ascii="Times New Roman" w:hAnsi="Times New Roman"/>
                <w:kern w:val="0"/>
                <w:sz w:val="22"/>
                <w:szCs w:val="22"/>
                <w:lang w:val="bg-BG" w:bidi="my-MM"/>
              </w:rPr>
              <w:t>Фиг. 6. Матрица на объркването.</w:t>
            </w:r>
          </w:p>
        </w:tc>
      </w:tr>
    </w:tbl>
    <w:p>
      <w:pPr>
        <w:pStyle w:val="LO-normal"/>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LO-normal"/>
        <w:ind w:firstLine="72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На Фиг. 6 е показана матрицата на объркване на </w:t>
      </w:r>
      <w:r>
        <w:rPr>
          <w:rFonts w:eastAsia="Times New Roman" w:cs="Times New Roman" w:ascii="Times New Roman" w:hAnsi="Times New Roman"/>
          <w:sz w:val="22"/>
          <w:szCs w:val="22"/>
          <w:lang w:val="en-US"/>
        </w:rPr>
        <w:t>Random Forest</w:t>
      </w:r>
      <w:r>
        <w:rPr>
          <w:rFonts w:eastAsia="Times New Roman" w:cs="Times New Roman" w:ascii="Times New Roman" w:hAnsi="Times New Roman"/>
          <w:sz w:val="22"/>
          <w:szCs w:val="22"/>
        </w:rPr>
        <w:t>. На нея по</w:t>
      </w:r>
      <w:r>
        <w:rPr>
          <w:rFonts w:eastAsia="Times New Roman" w:cs="Times New Roman" w:ascii="Times New Roman" w:hAnsi="Times New Roman"/>
          <w:sz w:val="22"/>
          <w:szCs w:val="22"/>
          <w:lang w:val="en-US"/>
        </w:rPr>
        <w:t xml:space="preserve"> </w:t>
      </w:r>
      <w:r>
        <w:rPr>
          <w:rFonts w:eastAsia="Times New Roman" w:cs="Times New Roman" w:ascii="Times New Roman" w:hAnsi="Times New Roman"/>
          <w:sz w:val="22"/>
          <w:szCs w:val="22"/>
        </w:rPr>
        <w:t>диагонал са показани правилно класифицираните изображения, както и неправилните такива отстрани.</w:t>
      </w:r>
    </w:p>
    <w:p>
      <w:pPr>
        <w:pStyle w:val="LO-normal"/>
        <w:ind w:firstLine="72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По модела Random Forest броят на реалните и класифицираните по модел стойности е различен за всяко, но общо е равен на </w:t>
      </w:r>
      <w:r>
        <w:rPr>
          <w:rFonts w:eastAsia="Times New Roman" w:cs="Times New Roman" w:ascii="Times New Roman" w:hAnsi="Times New Roman"/>
          <w:sz w:val="22"/>
          <w:szCs w:val="22"/>
          <w:lang w:val="en-US"/>
        </w:rPr>
        <w:t>30</w:t>
      </w:r>
      <w:r>
        <w:rPr>
          <w:rFonts w:eastAsia="Times New Roman" w:cs="Times New Roman" w:ascii="Times New Roman" w:hAnsi="Times New Roman"/>
          <w:sz w:val="22"/>
          <w:szCs w:val="22"/>
        </w:rPr>
        <w:t xml:space="preserve">. </w:t>
      </w:r>
    </w:p>
    <w:p>
      <w:pPr>
        <w:pStyle w:val="LO-normal"/>
        <w:ind w:firstLine="72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За реалните стойности (Змии = 9; Котки =</w:t>
      </w:r>
      <w:r>
        <w:rPr>
          <w:rFonts w:eastAsia="Times New Roman" w:cs="Times New Roman" w:ascii="Times New Roman" w:hAnsi="Times New Roman"/>
          <w:sz w:val="22"/>
          <w:szCs w:val="22"/>
          <w:lang w:val="en-US"/>
        </w:rPr>
        <w:t xml:space="preserve"> 11; </w:t>
      </w:r>
      <w:r>
        <w:rPr>
          <w:rFonts w:eastAsia="Times New Roman" w:cs="Times New Roman" w:ascii="Times New Roman" w:hAnsi="Times New Roman"/>
          <w:sz w:val="22"/>
          <w:szCs w:val="22"/>
        </w:rPr>
        <w:t xml:space="preserve">Кучета = 10). За класифицираните по модел стойности (Змии = 10; Котки = 10; Кучета = 10). </w:t>
      </w:r>
    </w:p>
    <w:p>
      <w:pPr>
        <w:pStyle w:val="LO-normal"/>
        <w:ind w:firstLine="72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За ред 1 „Змии“ са класифицирани правилно 9 стойности и имаме грешно класифицирана 1 стойност като котка.</w:t>
      </w:r>
    </w:p>
    <w:p>
      <w:pPr>
        <w:pStyle w:val="LO-normal"/>
        <w:ind w:firstLine="72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За ред 2 „Котки“ са класифицирани правилно 8 стойности и имаме грешно класифицирани 2 стойности като кучета.</w:t>
      </w:r>
    </w:p>
    <w:p>
      <w:pPr>
        <w:pStyle w:val="LO-normal"/>
        <w:ind w:firstLine="72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За ред 3 „Кучета“ са класифицирани правилно 8 стойности и имаме грешно класифицирани 2 стойности като котки.</w:t>
      </w:r>
    </w:p>
    <w:p>
      <w:pPr>
        <w:pStyle w:val="LO-normal"/>
        <w:ind w:firstLine="72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LO-normal"/>
        <w:ind w:firstLine="720"/>
        <w:jc w:val="both"/>
        <w:rPr>
          <w:rFonts w:ascii="Times New Roman" w:hAnsi="Times New Roman" w:eastAsia="Times New Roman" w:cs="Times New Roman"/>
          <w:sz w:val="22"/>
          <w:szCs w:val="22"/>
        </w:rPr>
      </w:pPr>
      <w:r>
        <w:rPr>
          <w:rFonts w:eastAsia="Times New Roman" w:cs="Times New Roman" w:ascii="Times New Roman" w:hAnsi="Times New Roman"/>
          <w:b/>
          <w:sz w:val="22"/>
          <w:szCs w:val="22"/>
        </w:rPr>
        <w:t xml:space="preserve">Заключение: </w:t>
      </w:r>
    </w:p>
    <w:p>
      <w:pPr>
        <w:pStyle w:val="LO-normal"/>
        <w:ind w:firstLine="72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Доклад</w:t>
      </w:r>
      <w:r>
        <w:rPr>
          <w:rFonts w:eastAsia="Times New Roman" w:cs="Times New Roman" w:ascii="Times New Roman" w:hAnsi="Times New Roman"/>
          <w:sz w:val="22"/>
          <w:szCs w:val="22"/>
          <w:lang w:val="bg-BG"/>
        </w:rPr>
        <w:t>ът</w:t>
      </w:r>
      <w:r>
        <w:rPr>
          <w:rFonts w:eastAsia="Times New Roman" w:cs="Times New Roman" w:ascii="Times New Roman" w:hAnsi="Times New Roman"/>
          <w:sz w:val="22"/>
          <w:szCs w:val="22"/>
        </w:rPr>
        <w:t xml:space="preserve"> разгледа възможностите на софтуерният продукт Orange Data Mining да класифицира изображения по 2 основни метода – с некласифицирани снимки в една обща папка с участието на йерархия и групирани в една папка, но</w:t>
      </w:r>
      <w:r>
        <w:rPr>
          <w:rFonts w:eastAsia="Times New Roman" w:cs="Times New Roman" w:ascii="Times New Roman" w:hAnsi="Times New Roman"/>
          <w:sz w:val="22"/>
          <w:szCs w:val="22"/>
          <w:lang w:val="en-US"/>
        </w:rPr>
        <w:t xml:space="preserve"> в три </w:t>
      </w:r>
      <w:r>
        <w:rPr>
          <w:rFonts w:eastAsia="Times New Roman" w:cs="Times New Roman" w:ascii="Times New Roman" w:hAnsi="Times New Roman"/>
          <w:sz w:val="22"/>
          <w:szCs w:val="22"/>
        </w:rPr>
        <w:t>отделни подпапки и без йерархия.</w:t>
      </w:r>
    </w:p>
    <w:p>
      <w:pPr>
        <w:pStyle w:val="LO-normal"/>
        <w:ind w:firstLine="720"/>
        <w:jc w:val="both"/>
        <w:rPr/>
      </w:pPr>
      <w:r>
        <w:rPr>
          <w:rFonts w:eastAsia="Times New Roman" w:cs="Times New Roman" w:ascii="Times New Roman" w:hAnsi="Times New Roman"/>
          <w:sz w:val="22"/>
          <w:szCs w:val="22"/>
        </w:rPr>
        <w:t>От обучените модели беше доказано, че невронните мрежи имат най-висок процент на правилно класифициране на отделните животни, а методът на случайните гори има най-малък процент точни резултати.</w:t>
      </w:r>
    </w:p>
    <w:p>
      <w:pPr>
        <w:pStyle w:val="LO-normal"/>
        <w:jc w:val="both"/>
        <w:rPr/>
      </w:pPr>
      <w:r>
        <w:rPr>
          <w:rFonts w:eastAsia="Times New Roman" w:cs="Times New Roman" w:ascii="Times New Roman" w:hAnsi="Times New Roman"/>
          <w:sz w:val="22"/>
          <w:szCs w:val="22"/>
        </w:rPr>
        <w:tab/>
        <w:t>Тези изводи демонстрират значението на избора на подходящ метод за класификация на изображения, като също така подчертават силните и слабите страни на различните модели за машинно обучение.</w:t>
      </w:r>
    </w:p>
    <w:p>
      <w:pPr>
        <w:pStyle w:val="LO-normal"/>
        <w:jc w:val="both"/>
        <w:rPr/>
      </w:pPr>
      <w:r>
        <w:rPr>
          <w:rFonts w:eastAsia="Times New Roman" w:cs="Times New Roman" w:ascii="Times New Roman" w:hAnsi="Times New Roman"/>
          <w:sz w:val="22"/>
          <w:szCs w:val="22"/>
        </w:rPr>
        <w:tab/>
      </w:r>
    </w:p>
    <w:p>
      <w:pPr>
        <w:pStyle w:val="LO-normal"/>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Литература:</w:t>
      </w:r>
    </w:p>
    <w:p>
      <w:pPr>
        <w:pStyle w:val="LO-normal"/>
        <w:numPr>
          <w:ilvl w:val="0"/>
          <w:numId w:val="1"/>
        </w:numPr>
        <w:ind w:left="851" w:hanging="425"/>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 xml:space="preserve">Как Работи Data Mining?, </w:t>
      </w:r>
      <w:r>
        <w:rPr>
          <w:rFonts w:eastAsia="Times New Roman" w:cs="Times New Roman" w:ascii="Times New Roman" w:hAnsi="Times New Roman"/>
          <w:sz w:val="22"/>
          <w:szCs w:val="22"/>
        </w:rPr>
        <w:t>https://www.dgsoft.eu/Как-работи-Data-Mining-b17.html</w:t>
      </w:r>
      <w:r>
        <w:rPr>
          <w:rStyle w:val="InternetLink"/>
          <w:rFonts w:eastAsia="Times New Roman" w:ascii="Times New Roman" w:hAnsi="Times New Roman"/>
          <w:color w:val="000000"/>
          <w:sz w:val="22"/>
          <w:szCs w:val="22"/>
          <w:u w:val="none"/>
        </w:rPr>
        <w:t xml:space="preserve">, </w:t>
      </w:r>
      <w:r>
        <w:rPr>
          <w:rFonts w:eastAsia="Times New Roman" w:cs="Times New Roman" w:ascii="Times New Roman" w:hAnsi="Times New Roman"/>
          <w:color w:val="000000"/>
          <w:sz w:val="22"/>
          <w:szCs w:val="22"/>
        </w:rPr>
        <w:t>2017.</w:t>
      </w:r>
    </w:p>
    <w:p>
      <w:pPr>
        <w:pStyle w:val="LO-normal"/>
        <w:numPr>
          <w:ilvl w:val="0"/>
          <w:numId w:val="1"/>
        </w:numPr>
        <w:ind w:left="851" w:hanging="425"/>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 xml:space="preserve">Класифициране по метода на най-близкия съсед, </w:t>
      </w:r>
      <w:r>
        <w:rPr>
          <w:rFonts w:eastAsia="Times New Roman" w:cs="Times New Roman" w:ascii="Times New Roman" w:hAnsi="Times New Roman"/>
          <w:sz w:val="22"/>
          <w:szCs w:val="22"/>
        </w:rPr>
        <w:t>https://course.elementsofai.com/bg/4/2</w:t>
      </w:r>
    </w:p>
    <w:p>
      <w:pPr>
        <w:pStyle w:val="LO-normal"/>
        <w:numPr>
          <w:ilvl w:val="0"/>
          <w:numId w:val="1"/>
        </w:numPr>
        <w:ind w:left="851" w:hanging="425"/>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 xml:space="preserve">Д. Нелсън. Какво е ансамбълно обучение?, </w:t>
      </w:r>
      <w:r>
        <w:rPr>
          <w:rFonts w:eastAsia="Times New Roman" w:cs="Times New Roman" w:ascii="Times New Roman" w:hAnsi="Times New Roman"/>
          <w:sz w:val="22"/>
          <w:szCs w:val="22"/>
        </w:rPr>
        <w:t>https://www.unite.ai/bg/what-is-ensemble-learning/</w:t>
      </w:r>
      <w:r>
        <w:rPr>
          <w:rStyle w:val="InternetLink"/>
          <w:rFonts w:eastAsia="Times New Roman" w:ascii="Times New Roman" w:hAnsi="Times New Roman"/>
          <w:color w:val="000000"/>
          <w:sz w:val="22"/>
          <w:szCs w:val="22"/>
          <w:u w:val="none"/>
        </w:rPr>
        <w:t>, 2020.</w:t>
      </w:r>
    </w:p>
    <w:p>
      <w:pPr>
        <w:pStyle w:val="LO-normal"/>
        <w:numPr>
          <w:ilvl w:val="0"/>
          <w:numId w:val="1"/>
        </w:numPr>
        <w:ind w:left="851" w:hanging="425"/>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lang w:val="en-US"/>
        </w:rPr>
        <w:t>Д</w:t>
      </w:r>
      <w:r>
        <w:rPr>
          <w:rFonts w:eastAsia="Times New Roman" w:cs="Times New Roman" w:ascii="Times New Roman" w:hAnsi="Times New Roman"/>
          <w:color w:val="000000"/>
          <w:sz w:val="22"/>
          <w:szCs w:val="22"/>
        </w:rPr>
        <w:t>.</w:t>
      </w:r>
      <w:r>
        <w:rPr>
          <w:rFonts w:eastAsia="Times New Roman" w:cs="Times New Roman" w:ascii="Times New Roman" w:hAnsi="Times New Roman"/>
          <w:color w:val="000000"/>
          <w:sz w:val="22"/>
          <w:szCs w:val="22"/>
          <w:lang w:val="en-US"/>
        </w:rPr>
        <w:t xml:space="preserve"> Христова. Machine Learning: Какво представлява регресията?, </w:t>
      </w:r>
      <w:r>
        <w:rPr>
          <w:rFonts w:eastAsia="Times New Roman" w:cs="Times New Roman" w:ascii="Times New Roman" w:hAnsi="Times New Roman"/>
          <w:sz w:val="22"/>
          <w:szCs w:val="22"/>
          <w:lang w:val="en-US"/>
        </w:rPr>
        <w:t>https://expert-bg.org/blog/machine-learning-kakvo-e-regresia/#logistichna-regresia</w:t>
      </w:r>
    </w:p>
    <w:p>
      <w:pPr>
        <w:pStyle w:val="LO-normal"/>
        <w:numPr>
          <w:ilvl w:val="0"/>
          <w:numId w:val="1"/>
        </w:numPr>
        <w:ind w:left="851" w:hanging="425"/>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 xml:space="preserve">Алгоритми за класификация в машинното обучение, </w:t>
      </w:r>
      <w:r>
        <w:rPr>
          <w:rFonts w:eastAsia="Times New Roman" w:cs="Times New Roman" w:ascii="Times New Roman" w:hAnsi="Times New Roman"/>
          <w:sz w:val="22"/>
          <w:szCs w:val="22"/>
        </w:rPr>
        <w:t>http://cs.tu-varna.bg/uploads/20200318_112744_Lab9_Student.pdf</w:t>
      </w:r>
    </w:p>
    <w:p>
      <w:pPr>
        <w:pStyle w:val="LO-normal"/>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rPr>
          <w:rFonts w:ascii="Times New Roman" w:hAnsi="Times New Roman" w:eastAsia="Times New Roman" w:cs="Times New Roman"/>
          <w:sz w:val="22"/>
          <w:szCs w:val="22"/>
          <w:lang w:val="bg-BG" w:eastAsia="zh-CN"/>
        </w:rPr>
      </w:pPr>
      <w:r>
        <w:rPr>
          <w:rFonts w:eastAsia="Times New Roman" w:cs="Times New Roman" w:ascii="Times New Roman" w:hAnsi="Times New Roman"/>
          <w:sz w:val="22"/>
          <w:szCs w:val="22"/>
          <w:lang w:val="bg-BG" w:eastAsia="zh-CN"/>
        </w:rPr>
      </w:r>
    </w:p>
    <w:p>
      <w:pPr>
        <w:pStyle w:val="Normal"/>
        <w:tabs>
          <w:tab w:val="clear" w:pos="720"/>
          <w:tab w:val="left" w:pos="2057" w:leader="none"/>
        </w:tabs>
        <w:rPr>
          <w:lang w:val="bg-BG" w:eastAsia="zh-CN"/>
        </w:rPr>
      </w:pPr>
      <w:r>
        <w:rPr>
          <w:lang w:val="bg-BG" w:eastAsia="zh-CN"/>
        </w:rPr>
        <w:tab/>
      </w:r>
    </w:p>
    <w:sectPr>
      <w:headerReference w:type="default" r:id="rId8"/>
      <w:headerReference w:type="first" r:id="rId9"/>
      <w:footerReference w:type="default" r:id="rId10"/>
      <w:footerReference w:type="first" r:id="rId11"/>
      <w:type w:val="nextPage"/>
      <w:pgSz w:w="10318" w:h="14570"/>
      <w:pgMar w:left="1134" w:right="1134" w:gutter="0" w:header="737" w:top="1701" w:footer="511" w:bottom="1134"/>
      <w:pgNumType w:start="1" w:fmt="decimal"/>
      <w:formProt w:val="false"/>
      <w:titlePg/>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ourier New">
    <w:charset w:val="01"/>
    <w:family w:val="swiss"/>
    <w:pitch w:val="default"/>
  </w:font>
  <w:font w:name="Arial">
    <w:charset w:val="01"/>
    <w:family w:val="swiss"/>
    <w:pitch w:val="default"/>
  </w:font>
  <w:font w:name="Calibri Light">
    <w:charset w:val="01"/>
    <w:family w:val="swiss"/>
    <w:pitch w:val="default"/>
  </w:font>
  <w:font w:name="OpenSymbol">
    <w:altName w:val="Arial Unicode MS"/>
    <w:charset w:val="01"/>
    <w:family w:val="swiss"/>
    <w:pitch w:val="default"/>
  </w:font>
  <w:font w:name="Calibri">
    <w:charset w:val="01"/>
    <w:family w:val="swiss"/>
    <w:pitch w:val="default"/>
  </w:font>
  <w:font w:name="Georgia">
    <w:charset w:val="01"/>
    <w:family w:val="swiss"/>
    <w:pitch w:val="default"/>
  </w:font>
  <w:font w:name="Times New Roman">
    <w:charset w:val="01"/>
    <w:family w:val="swiss"/>
    <w:pitch w:val="default"/>
  </w:font>
  <w:font w:name="Wingdings">
    <w:charset w:val="02"/>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tabs>
        <w:tab w:val="clear" w:pos="720"/>
        <w:tab w:val="center" w:pos="4320" w:leader="none"/>
        <w:tab w:val="right" w:pos="8640" w:leader="none"/>
      </w:tabs>
      <w:jc w:val="right"/>
      <w:rPr>
        <w:color w:val="000000"/>
      </w:rPr>
    </w:pPr>
    <w:r>
      <w:rPr/>
      <w:fldChar w:fldCharType="begin"/>
    </w:r>
    <w:r>
      <w:rPr/>
      <w:instrText xml:space="preserve"> PAGE </w:instrText>
    </w:r>
    <w:r>
      <w:rPr/>
      <w:fldChar w:fldCharType="separate"/>
    </w:r>
    <w:r>
      <w:rPr/>
      <w:t>7</w:t>
    </w:r>
    <w:r>
      <w:rPr/>
      <w:fldChar w:fldCharType="end"/>
    </w:r>
  </w:p>
  <w:p>
    <w:pPr>
      <w:pStyle w:val="LO-normal"/>
      <w:tabs>
        <w:tab w:val="clear" w:pos="720"/>
        <w:tab w:val="left" w:pos="2625" w:leader="none"/>
        <w:tab w:val="center" w:pos="4320" w:leader="none"/>
        <w:tab w:val="right" w:pos="8640" w:leader="none"/>
      </w:tabs>
      <w:rPr>
        <w:color w:val="000000"/>
      </w:rPr>
    </w:pPr>
    <w:r>
      <w:rPr>
        <w:color w:val="00000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tabs>
        <w:tab w:val="clear" w:pos="720"/>
        <w:tab w:val="center" w:pos="4320" w:leader="none"/>
        <w:tab w:val="right" w:pos="8640" w:leader="none"/>
      </w:tabs>
      <w:jc w:val="right"/>
      <w:rPr>
        <w:color w:val="000000"/>
      </w:rPr>
    </w:pPr>
    <w:r>
      <w:rPr/>
      <w:fldChar w:fldCharType="begin"/>
    </w:r>
    <w:r>
      <w:rPr/>
      <w:instrText xml:space="preserve"> PAGE </w:instrText>
    </w:r>
    <w:r>
      <w:rPr/>
      <w:fldChar w:fldCharType="separate"/>
    </w:r>
    <w:r>
      <w:rPr/>
      <w:t>1</w:t>
    </w:r>
    <w:r>
      <w:rPr/>
      <w:fldChar w:fldCharType="end"/>
    </w:r>
  </w:p>
  <w:p>
    <w:pPr>
      <w:pStyle w:val="Normal"/>
      <w:pBdr>
        <w:top w:val="single" w:sz="4" w:space="1" w:color="000000"/>
      </w:pBdr>
      <w:tabs>
        <w:tab w:val="clear" w:pos="720"/>
        <w:tab w:val="left" w:pos="1418" w:leader="none"/>
        <w:tab w:val="center" w:pos="4320" w:leader="none"/>
        <w:tab w:val="right" w:pos="8640" w:leader="none"/>
      </w:tabs>
      <w:ind w:right="5357" w:hanging="0"/>
      <w:rPr>
        <w:color w:val="000000"/>
      </w:rPr>
    </w:pPr>
    <w:r>
      <w:rPr>
        <w:rFonts w:eastAsia="Arial" w:cs="Arial" w:ascii="Arial" w:hAnsi="Arial"/>
        <w:i/>
        <w:color w:val="000000"/>
        <w:sz w:val="16"/>
        <w:szCs w:val="16"/>
      </w:rPr>
      <w:t>*E-mail: tarduk@abv.bg</w:t>
    </w:r>
  </w:p>
  <w:p>
    <w:pPr>
      <w:pStyle w:val="LO-normal"/>
      <w:tabs>
        <w:tab w:val="clear" w:pos="720"/>
        <w:tab w:val="center" w:pos="4320" w:leader="none"/>
        <w:tab w:val="right" w:pos="8640" w:leader="none"/>
      </w:tabs>
      <w:rPr>
        <w:color w:val="000000"/>
      </w:rPr>
    </w:pPr>
    <w:r>
      <w:rPr>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rPr/>
    </w:pPr>
    <w:r>
      <w:rPr/>
    </w:r>
  </w:p>
  <w:p>
    <w:pPr>
      <w:pStyle w:val="LO-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spacing w:before="120" w:after="0"/>
      <w:ind w:left="851" w:hanging="0"/>
      <w:jc w:val="both"/>
      <w:rPr>
        <w:rFonts w:ascii="Arial" w:hAnsi="Arial" w:eastAsia="Arial" w:cs="Arial"/>
        <w:color w:val="000000"/>
        <w:sz w:val="18"/>
        <w:szCs w:val="18"/>
      </w:rPr>
    </w:pPr>
    <w:r>
      <w:rPr>
        <w:rFonts w:eastAsia="Arial" w:cs="Arial" w:ascii="Arial" w:hAnsi="Arial"/>
        <w:sz w:val="18"/>
        <w:szCs w:val="18"/>
      </w:rPr>
      <w:t>Трета</w:t>
    </w:r>
    <w:r>
      <w:rPr>
        <w:rFonts w:eastAsia="Arial" w:cs="Arial" w:ascii="Arial" w:hAnsi="Arial"/>
        <w:color w:val="000000"/>
        <w:sz w:val="18"/>
        <w:szCs w:val="18"/>
      </w:rPr>
      <w:t xml:space="preserve"> национална конференция по „Информационни технологии и автоматика“</w:t>
    </w:r>
    <w:r>
      <w:rPr>
        <w:rFonts w:eastAsia="Arial" w:cs="Arial" w:ascii="Arial" w:hAnsi="Arial"/>
        <w:color w:val="000000"/>
        <w:sz w:val="18"/>
        <w:szCs w:val="18"/>
        <w:lang w:val="bg-BG"/>
      </w:rPr>
      <w:t xml:space="preserve"> </w:t>
    </w:r>
    <w:r>
      <w:rPr>
        <w:rFonts w:eastAsia="Arial" w:cs="Arial" w:ascii="Arial" w:hAnsi="Arial"/>
        <w:color w:val="000000"/>
        <w:sz w:val="18"/>
        <w:szCs w:val="18"/>
      </w:rPr>
      <w:t>за ученици и студенти  - Химикотехнологичен и металургичен университет, София, 2</w:t>
    </w:r>
    <w:r>
      <w:rPr>
        <w:rFonts w:eastAsia="Arial" w:cs="Arial" w:ascii="Arial" w:hAnsi="Arial"/>
        <w:sz w:val="18"/>
        <w:szCs w:val="18"/>
      </w:rPr>
      <w:t>3</w:t>
    </w:r>
    <w:r>
      <w:rPr>
        <w:rFonts w:eastAsia="Arial" w:cs="Arial" w:ascii="Arial" w:hAnsi="Arial"/>
        <w:color w:val="000000"/>
        <w:sz w:val="18"/>
        <w:szCs w:val="18"/>
      </w:rPr>
      <w:t>-2</w:t>
    </w:r>
    <w:r>
      <w:rPr>
        <w:rFonts w:eastAsia="Arial" w:cs="Arial" w:ascii="Arial" w:hAnsi="Arial"/>
        <w:sz w:val="18"/>
        <w:szCs w:val="18"/>
      </w:rPr>
      <w:t>5</w:t>
    </w:r>
    <w:r>
      <w:rPr>
        <w:rFonts w:eastAsia="Arial" w:cs="Arial" w:ascii="Arial" w:hAnsi="Arial"/>
        <w:color w:val="000000"/>
        <w:sz w:val="18"/>
        <w:szCs w:val="18"/>
      </w:rPr>
      <w:t xml:space="preserve"> април, 202</w:t>
    </w:r>
    <w:r>
      <w:rPr>
        <w:rFonts w:eastAsia="Arial" w:cs="Arial" w:ascii="Arial" w:hAnsi="Arial"/>
        <w:sz w:val="18"/>
        <w:szCs w:val="18"/>
      </w:rPr>
      <mc:AlternateContent>
        <mc:Choice Requires="wps">
          <w:drawing>
            <wp:anchor behindDoc="1" distT="0" distB="0" distL="114300" distR="114300" simplePos="0" locked="0" layoutInCell="1" allowOverlap="1" relativeHeight="2">
              <wp:simplePos x="0" y="0"/>
              <wp:positionH relativeFrom="column">
                <wp:posOffset>12700</wp:posOffset>
              </wp:positionH>
              <wp:positionV relativeFrom="paragraph">
                <wp:posOffset>495300</wp:posOffset>
              </wp:positionV>
              <wp:extent cx="635" cy="12700"/>
              <wp:effectExtent l="6985" t="635" r="6350" b="1270"/>
              <wp:wrapNone/>
              <wp:docPr id="7" name="Straight Arrow Connector 1863322362"/>
              <a:graphic xmlns:a="http://schemas.openxmlformats.org/drawingml/2006/main">
                <a:graphicData uri="http://schemas.microsoft.com/office/word/2010/wordprocessingShape">
                  <wps:wsp>
                    <wps:cNvSpPr/>
                    <wps:spPr>
                      <a:xfrm>
                        <a:off x="0" y="0"/>
                        <a:ext cx="720" cy="12600"/>
                      </a:xfrm>
                      <a:prstGeom prst="straightConnector1">
                        <a:avLst/>
                      </a:prstGeom>
                      <a:noFill/>
                      <a:ln w="12600">
                        <a:solidFill>
                          <a:srgbClr val="000000"/>
                        </a:solidFill>
                        <a:miter/>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Arrow Connector 1863322362" stroked="t" o:allowincell="f" style="position:absolute;margin-left:1pt;margin-top:39pt;width:0pt;height:0.95pt;mso-wrap-style:none;v-text-anchor:middle" type="_x0000_t32">
              <v:fill o:detectmouseclick="t" on="false"/>
              <v:stroke color="black" weight="12600" joinstyle="miter" endcap="flat"/>
              <w10:wrap type="none"/>
            </v:shape>
          </w:pict>
        </mc:Fallback>
      </mc:AlternateContent>
      <mc:AlternateContent>
        <mc:Choice Requires="wpg">
          <w:drawing>
            <wp:anchor behindDoc="1" distT="0" distB="0" distL="114300" distR="114300" simplePos="0" locked="0" layoutInCell="1" allowOverlap="1" relativeHeight="3">
              <wp:simplePos x="0" y="0"/>
              <wp:positionH relativeFrom="column">
                <wp:posOffset>52070</wp:posOffset>
              </wp:positionH>
              <wp:positionV relativeFrom="paragraph">
                <wp:posOffset>26670</wp:posOffset>
              </wp:positionV>
              <wp:extent cx="273685" cy="377190"/>
              <wp:effectExtent l="0" t="1905" r="0" b="17780"/>
              <wp:wrapNone/>
              <wp:docPr id="8" name="Group 1863322363"/>
              <a:graphic xmlns:a="http://schemas.openxmlformats.org/drawingml/2006/main">
                <a:graphicData uri="http://schemas.microsoft.com/office/word/2010/wordprocessingGroup">
                  <wpg:wgp>
                    <wpg:cNvGrpSpPr/>
                    <wpg:grpSpPr>
                      <a:xfrm>
                        <a:off x="0" y="0"/>
                        <a:ext cx="273600" cy="377280"/>
                        <a:chOff x="0" y="0"/>
                        <a:chExt cx="273600" cy="377280"/>
                      </a:xfrm>
                    </wpg:grpSpPr>
                    <wpg:grpSp>
                      <wpg:cNvGrpSpPr/>
                      <wpg:grpSpPr>
                        <a:xfrm>
                          <a:off x="0" y="0"/>
                          <a:ext cx="273600" cy="377280"/>
                        </a:xfrm>
                      </wpg:grpSpPr>
                      <wps:wsp>
                        <wps:cNvSpPr txBox="1"/>
                        <wps:spPr>
                          <a:xfrm>
                            <a:off x="0" y="0"/>
                            <a:ext cx="273600" cy="372240"/>
                          </a:xfrm>
                          <a:prstGeom prst="rect">
                            <a:avLst/>
                          </a:prstGeom>
                          <a:noFill/>
                          <a:ln w="0">
                            <a:noFill/>
                          </a:ln>
                        </wps:spPr>
                        <wps:bodyPr/>
                      </wps:wsp>
                      <wpg:grpSp>
                        <wpg:cNvGrpSpPr/>
                        <wpg:grpSpPr>
                          <a:xfrm>
                            <a:off x="12600" y="12600"/>
                            <a:ext cx="248400" cy="364320"/>
                          </a:xfrm>
                        </wpg:grpSpPr>
                        <wps:wsp>
                          <wps:cNvSpPr txBox="1"/>
                          <wps:spPr>
                            <a:xfrm>
                              <a:off x="0" y="0"/>
                              <a:ext cx="248400" cy="340920"/>
                            </a:xfrm>
                            <a:prstGeom prst="rect">
                              <a:avLst/>
                            </a:prstGeom>
                            <a:noFill/>
                            <a:ln w="0">
                              <a:noFill/>
                            </a:ln>
                          </wps:spPr>
                          <wps:bodyPr/>
                        </wps:wsp>
                        <wps:wsp>
                          <wps:cNvPr id="9" name="Hexagon 1880848254"/>
                          <wps:cNvSpPr/>
                          <wps:spPr>
                            <a:xfrm rot="16200000">
                              <a:off x="-24840" y="109800"/>
                              <a:ext cx="297720" cy="211320"/>
                            </a:xfrm>
                            <a:prstGeom prst="hexagon">
                              <a:avLst>
                                <a:gd name="adj" fmla="val 35221"/>
                                <a:gd name="vf" fmla="val 115470"/>
                              </a:avLst>
                            </a:prstGeom>
                            <a:solidFill>
                              <a:srgbClr val="ffffff"/>
                            </a:solidFill>
                            <a:ln w="28440">
                              <a:solidFill>
                                <a:srgbClr val="000000"/>
                              </a:solidFill>
                              <a:miter/>
                            </a:ln>
                          </wps:spPr>
                          <wps:style>
                            <a:lnRef idx="0"/>
                            <a:fillRef idx="0"/>
                            <a:effectRef idx="0"/>
                            <a:fontRef idx="minor"/>
                          </wps:style>
                          <wps:bodyPr/>
                        </wps:wsp>
                        <wps:wsp>
                          <wps:cNvSpPr/>
                          <wps:spPr>
                            <a:xfrm>
                              <a:off x="74520" y="0"/>
                              <a:ext cx="99720" cy="63360"/>
                            </a:xfrm>
                            <a:custGeom>
                              <a:avLst/>
                              <a:gdLst/>
                              <a:ahLst/>
                              <a:rect l="0" t="0" r="r" b="b"/>
                              <a:pathLst>
                                <a:path fill="none" w="277" h="176">
                                  <a:moveTo>
                                    <a:pt x="1" y="177"/>
                                  </a:moveTo>
                                  <a:lnTo>
                                    <a:pt x="1" y="60"/>
                                  </a:lnTo>
                                  <a:lnTo>
                                    <a:pt x="139" y="1"/>
                                  </a:lnTo>
                                  <a:lnTo>
                                    <a:pt x="277" y="60"/>
                                  </a:lnTo>
                                  <a:lnTo>
                                    <a:pt x="277" y="177"/>
                                  </a:lnTo>
                                </a:path>
                              </a:pathLst>
                            </a:custGeom>
                            <a:ln w="28440">
                              <a:solidFill>
                                <a:srgbClr val="000000"/>
                              </a:solidFill>
                              <a:round/>
                            </a:ln>
                          </wps:spPr>
                          <wps:bodyPr/>
                        </wps:wsp>
                        <wps:wsp>
                          <wps:cNvSpPr/>
                          <wps:spPr>
                            <a:xfrm>
                              <a:off x="49680" y="40680"/>
                              <a:ext cx="148680" cy="84600"/>
                            </a:xfrm>
                            <a:custGeom>
                              <a:avLst/>
                              <a:gdLst/>
                              <a:ahLst/>
                              <a:rect l="0" t="0" r="r" b="b"/>
                              <a:pathLst>
                                <a:path fill="none" w="413" h="235">
                                  <a:moveTo>
                                    <a:pt x="0" y="235"/>
                                  </a:moveTo>
                                  <a:lnTo>
                                    <a:pt x="0" y="94"/>
                                  </a:lnTo>
                                  <a:lnTo>
                                    <a:pt x="207" y="0"/>
                                  </a:lnTo>
                                  <a:lnTo>
                                    <a:pt x="413" y="94"/>
                                  </a:lnTo>
                                  <a:lnTo>
                                    <a:pt x="413" y="235"/>
                                  </a:lnTo>
                                </a:path>
                              </a:pathLst>
                            </a:custGeom>
                            <a:ln w="28440">
                              <a:solidFill>
                                <a:srgbClr val="000000"/>
                              </a:solidFill>
                              <a:round/>
                            </a:ln>
                          </wps:spPr>
                          <wps:bodyPr/>
                        </wps:wsp>
                      </wpg:grpSp>
                    </wpg:grpSp>
                  </wpg:wgp>
                </a:graphicData>
              </a:graphic>
            </wp:anchor>
          </w:drawing>
        </mc:Choice>
        <mc:Fallback>
          <w:pict>
            <v:group id="shape_0" alt="Group 1863322363" style="position:absolute;margin-left:3.15pt;margin-top:2.1pt;width:23.45pt;height:29.3pt" coordorigin="63,42" coordsize="469,586">
              <v:group id="shape_0" alt="Group 754569490" style="position:absolute;left:63;top:42;width:469;height:586">
                <v:shapetype id="_x0000_t202" coordsize="21600,21600" o:spt="202" path="m,l,21600l21600,21600l21600,xe">
                  <v:stroke joinstyle="miter"/>
                  <v:path gradientshapeok="t" o:connecttype="rect"/>
                </v:shapetype>
                <v:shape id="shape_0" ID="Rectangle 252563896" stroked="f" o:allowincell="f" style="position:absolute;left:82;top:42;width:430;height:585;mso-wrap-style:none;v-text-anchor:middle" type="_x0000_t202">
                  <v:fill o:detectmouseclick="t" on="false"/>
                  <v:stroke color="#3465a4" joinstyle="round" endcap="flat"/>
                  <w10:wrap type="none"/>
                </v:shape>
                <v:group id="shape_0" alt="Group 1669313626" style="position:absolute;left:63;top:62;width:469;height:537">
                  <v:shape id="shape_0" ID="Rectangle 107547530" stroked="f" o:allowincell="f" style="position:absolute;left:102;top:62;width:390;height:536;mso-wrap-style:none;v-text-anchor:middle" type="_x0000_t202">
                    <v:fill o:detectmouseclick="t" on="false"/>
                    <v:stroke color="#3465a4" joinstyle="round" endcap="flat"/>
                    <w10:wrap type="none"/>
                  </v:shape>
                  <v:shapetype id="_x0000_t9" coordsize="21600,21600" o:spt="9" adj="5400" path="m,10800l@1@6l@3@6l21600,10800l@3@7l@1@7xe">
                    <v:stroke joinstyle="miter"/>
                    <v:formulas>
                      <v:f eqn="val 10800"/>
                      <v:f eqn="val #0"/>
                      <v:f eqn="prod 1 24942 2"/>
                      <v:f eqn="sum width 0 @1"/>
                      <v:f eqn="sumangle 0 60 0"/>
                      <v:f eqn="sin @2 @4"/>
                      <v:f eqn="sum 10800 0 @5"/>
                      <v:f eqn="sum 10800 @5 0"/>
                      <v:f eqn="prod @0 -1 2"/>
                      <v:f eqn="sum @1 @8 0"/>
                      <v:f eqn="if @9 4 2"/>
                      <v:f eqn="if @9 3 2"/>
                      <v:f eqn="if @9 @8 0"/>
                      <v:f eqn="sum @1 @12 0"/>
                      <v:f eqn="prod 1 @13 @8"/>
                      <v:f eqn="prod @14 @11 -1"/>
                      <v:f eqn="sum @10 @15 0"/>
                      <v:f eqn="prod 2700 @16 3"/>
                      <v:f eqn="sum width 0 @17"/>
                      <v:f eqn="sum height 0 @17"/>
                    </v:formulas>
                    <v:path gradientshapeok="t" o:connecttype="rect" textboxrect="@17,@17,@18,@19"/>
                    <v:handles>
                      <v:h position="@1,0"/>
                    </v:handles>
                  </v:shapetype>
                  <v:shape id="shape_0" ID="Hexagon 1880848254" fillcolor="white" stroked="t" o:allowincell="f" style="position:absolute;left:64;top:235;width:468;height:332;mso-wrap-style:none;v-text-anchor:middle;rotation:270" type="_x0000_t9">
                    <v:fill o:detectmouseclick="t" type="solid" color2="black"/>
                    <v:stroke color="black" weight="28440" joinstyle="miter" endcap="flat"/>
                    <w10:wrap type="none"/>
                  </v:shape>
                  <v:shape id="shape_0" ID="Freeform: Shape 81349623" coordsize="277,177" path="m0,176l0,59l138,0l276,59l276,176e" stroked="t" o:allowincell="f" style="position:absolute;left:219;top:62;width:156;height:99">
                    <v:stroke color="black" weight="28440" joinstyle="round" endcap="flat"/>
                    <v:fill o:detectmouseclick="t" on="false"/>
                    <w10:wrap type="none"/>
                  </v:shape>
                  <v:shape id="shape_0" ID="Freeform: Shape 1209972026" coordsize="414,236" path="m0,235l0,94l207,0l413,94l413,235e" stroked="t" o:allowincell="f" style="position:absolute;left:180;top:126;width:233;height:132">
                    <v:stroke color="black" weight="28440" joinstyle="round" endcap="flat"/>
                    <v:fill o:detectmouseclick="t" on="false"/>
                    <w10:wrap type="none"/>
                  </v:shape>
                </v:group>
              </v:group>
            </v:group>
          </w:pict>
        </mc:Fallback>
      </mc:AlternateContent>
    </w:r>
    <w:r>
      <w:rPr>
        <w:rFonts w:eastAsia="Arial" w:cs="Arial" w:ascii="Arial" w:hAnsi="Arial"/>
        <w:sz w:val="18"/>
        <w:szCs w:val="18"/>
      </w:rPr>
      <w:t>4</w: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90"/>
  <w:defaultTabStop w:val="720"/>
  <w:autoHyphenation w:val="true"/>
  <w:hyphenationZone w:val="425"/>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urier New" w:hAnsi="Courier New" w:eastAsia="Courier New" w:cs="Courier New"/>
        <w:lang w:val="bg-BG"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Courier New" w:hAnsi="Courier New" w:eastAsia="Courier New" w:cs="Courier New"/>
      <w:color w:val="auto"/>
      <w:kern w:val="0"/>
      <w:sz w:val="20"/>
      <w:szCs w:val="20"/>
      <w:lang w:val="en-US" w:eastAsia="en-US" w:bidi="hi-IN"/>
    </w:rPr>
  </w:style>
  <w:style w:type="paragraph" w:styleId="Heading1">
    <w:name w:val="Heading 1"/>
    <w:basedOn w:val="LO-normal"/>
    <w:next w:val="LO-normal"/>
    <w:uiPriority w:val="9"/>
    <w:qFormat/>
    <w:pPr>
      <w:keepNext w:val="true"/>
      <w:keepLines/>
      <w:spacing w:before="480" w:after="120"/>
      <w:outlineLvl w:val="0"/>
    </w:pPr>
    <w:rPr>
      <w:b/>
      <w:sz w:val="48"/>
      <w:szCs w:val="48"/>
    </w:rPr>
  </w:style>
  <w:style w:type="paragraph" w:styleId="Heading2">
    <w:name w:val="Heading 2"/>
    <w:basedOn w:val="LO-normal"/>
    <w:next w:val="LO-normal"/>
    <w:link w:val="Heading2Char"/>
    <w:uiPriority w:val="9"/>
    <w:semiHidden/>
    <w:unhideWhenUsed/>
    <w:qFormat/>
    <w:pPr>
      <w:keepNext w:val="true"/>
      <w:outlineLvl w:val="1"/>
    </w:pPr>
    <w:rPr>
      <w:rFonts w:ascii="Arial" w:hAnsi="Arial" w:cs="Arial"/>
      <w:b/>
      <w:bCs/>
    </w:rPr>
  </w:style>
  <w:style w:type="paragraph" w:styleId="Heading3">
    <w:name w:val="Heading 3"/>
    <w:basedOn w:val="LO-normal"/>
    <w:next w:val="LO-normal"/>
    <w:uiPriority w:val="9"/>
    <w:semiHidden/>
    <w:unhideWhenUsed/>
    <w:qFormat/>
    <w:pPr>
      <w:keepNext w:val="true"/>
      <w:keepLines/>
      <w:spacing w:before="280" w:after="80"/>
      <w:outlineLvl w:val="2"/>
    </w:pPr>
    <w:rPr>
      <w:b/>
      <w:sz w:val="28"/>
      <w:szCs w:val="28"/>
    </w:rPr>
  </w:style>
  <w:style w:type="paragraph" w:styleId="Heading4">
    <w:name w:val="Heading 4"/>
    <w:basedOn w:val="LO-normal"/>
    <w:next w:val="LO-normal"/>
    <w:uiPriority w:val="9"/>
    <w:semiHidden/>
    <w:unhideWhenUsed/>
    <w:qFormat/>
    <w:pPr>
      <w:keepNext w:val="true"/>
      <w:keepLines/>
      <w:spacing w:before="240" w:after="40"/>
      <w:outlineLvl w:val="3"/>
    </w:pPr>
    <w:rPr>
      <w:b/>
      <w:sz w:val="24"/>
      <w:szCs w:val="24"/>
    </w:rPr>
  </w:style>
  <w:style w:type="paragraph" w:styleId="Heading5">
    <w:name w:val="Heading 5"/>
    <w:basedOn w:val="LO-normal"/>
    <w:next w:val="LO-normal"/>
    <w:uiPriority w:val="9"/>
    <w:semiHidden/>
    <w:unhideWhenUsed/>
    <w:qFormat/>
    <w:pPr>
      <w:keepNext w:val="true"/>
      <w:keepLines/>
      <w:spacing w:before="220" w:after="40"/>
      <w:outlineLvl w:val="4"/>
    </w:pPr>
    <w:rPr>
      <w:b/>
      <w:sz w:val="22"/>
      <w:szCs w:val="22"/>
    </w:rPr>
  </w:style>
  <w:style w:type="paragraph" w:styleId="Heading6">
    <w:name w:val="Heading 6"/>
    <w:basedOn w:val="LO-normal"/>
    <w:next w:val="LO-normal"/>
    <w:uiPriority w:val="9"/>
    <w:semiHidden/>
    <w:unhideWhenUsed/>
    <w:qFormat/>
    <w:pPr>
      <w:keepNext w:val="true"/>
      <w:keepLines/>
      <w:spacing w:before="200" w:after="40"/>
      <w:outlineLvl w:val="5"/>
    </w:pPr>
    <w:rPr>
      <w:b/>
    </w:rPr>
  </w:style>
  <w:style w:type="character" w:styleId="DefaultParagraphFont" w:default="1">
    <w:name w:val="Default Paragraph Font"/>
    <w:uiPriority w:val="1"/>
    <w:unhideWhenUsed/>
    <w:qFormat/>
    <w:rPr/>
  </w:style>
  <w:style w:type="character" w:styleId="Heading2Char" w:customStyle="1">
    <w:name w:val="Heading 2 Char"/>
    <w:basedOn w:val="DefaultParagraphFont"/>
    <w:link w:val="Heading2"/>
    <w:uiPriority w:val="9"/>
    <w:semiHidden/>
    <w:qFormat/>
    <w:locked/>
    <w:rPr>
      <w:rFonts w:ascii="Calibri Light" w:hAnsi="Calibri Light" w:eastAsia="" w:cs="Times New Roman" w:asciiTheme="majorHAnsi" w:eastAsiaTheme="majorEastAsia" w:hAnsiTheme="majorHAnsi"/>
      <w:b/>
      <w:bCs/>
      <w:i/>
      <w:iCs/>
      <w:sz w:val="28"/>
      <w:szCs w:val="28"/>
    </w:rPr>
  </w:style>
  <w:style w:type="character" w:styleId="BodyTextChar" w:customStyle="1">
    <w:name w:val="Body Text Char"/>
    <w:basedOn w:val="DefaultParagraphFont"/>
    <w:uiPriority w:val="99"/>
    <w:semiHidden/>
    <w:qFormat/>
    <w:locked/>
    <w:rPr>
      <w:rFonts w:ascii="Courier New" w:hAnsi="Courier New" w:cs="Courier New"/>
      <w:sz w:val="20"/>
      <w:szCs w:val="20"/>
    </w:rPr>
  </w:style>
  <w:style w:type="character" w:styleId="HeaderChar" w:customStyle="1">
    <w:name w:val="Header Char"/>
    <w:basedOn w:val="DefaultParagraphFont"/>
    <w:link w:val="Header"/>
    <w:uiPriority w:val="99"/>
    <w:semiHidden/>
    <w:qFormat/>
    <w:locked/>
    <w:rsid w:val="009b05b1"/>
    <w:rPr>
      <w:rFonts w:ascii="Courier New" w:hAnsi="Courier New" w:cs="Courier New"/>
      <w:lang w:val="en-US" w:eastAsia="en-US" w:bidi="ar-SA"/>
    </w:rPr>
  </w:style>
  <w:style w:type="character" w:styleId="FooterChar" w:customStyle="1">
    <w:name w:val="Footer Char"/>
    <w:basedOn w:val="DefaultParagraphFont"/>
    <w:link w:val="Footer"/>
    <w:uiPriority w:val="99"/>
    <w:qFormat/>
    <w:locked/>
    <w:rPr>
      <w:rFonts w:ascii="Courier New" w:hAnsi="Courier New" w:cs="Courier New"/>
      <w:sz w:val="20"/>
      <w:szCs w:val="20"/>
    </w:rPr>
  </w:style>
  <w:style w:type="character" w:styleId="InternetLink">
    <w:name w:val="Hyperlink"/>
    <w:basedOn w:val="DefaultParagraphFont"/>
    <w:uiPriority w:val="99"/>
    <w:rPr>
      <w:rFonts w:cs="Times New Roman"/>
      <w:color w:val="0000FF"/>
      <w:u w:val="single"/>
    </w:rPr>
  </w:style>
  <w:style w:type="character" w:styleId="BodyText2Char" w:customStyle="1">
    <w:name w:val="Body Text 2 Char"/>
    <w:basedOn w:val="DefaultParagraphFont"/>
    <w:link w:val="BodyText2"/>
    <w:uiPriority w:val="99"/>
    <w:semiHidden/>
    <w:qFormat/>
    <w:locked/>
    <w:rPr>
      <w:rFonts w:ascii="Courier New" w:hAnsi="Courier New" w:cs="Courier New"/>
      <w:sz w:val="20"/>
      <w:szCs w:val="20"/>
    </w:rPr>
  </w:style>
  <w:style w:type="character" w:styleId="Pagenumber">
    <w:name w:val="page number"/>
    <w:basedOn w:val="DefaultParagraphFont"/>
    <w:uiPriority w:val="99"/>
    <w:qFormat/>
    <w:rsid w:val="00d47c65"/>
    <w:rPr>
      <w:rFonts w:cs="Times New Roman"/>
    </w:rPr>
  </w:style>
  <w:style w:type="character" w:styleId="Contact-value" w:customStyle="1">
    <w:name w:val="contact-value"/>
    <w:basedOn w:val="DefaultParagraphFont"/>
    <w:uiPriority w:val="99"/>
    <w:qFormat/>
    <w:rsid w:val="00e67110"/>
    <w:rPr>
      <w:rFonts w:cs="Times New Roman"/>
    </w:rPr>
  </w:style>
  <w:style w:type="character" w:styleId="Strong">
    <w:name w:val="Strong"/>
    <w:basedOn w:val="DefaultParagraphFont"/>
    <w:uiPriority w:val="22"/>
    <w:qFormat/>
    <w:rsid w:val="00d26ee8"/>
    <w:rPr>
      <w:rFonts w:cs="Times New Roman"/>
      <w:b/>
    </w:rPr>
  </w:style>
  <w:style w:type="character" w:styleId="Bullets" w:customStyle="1">
    <w:name w:val="Bullets"/>
    <w:qFormat/>
    <w:rPr>
      <w:rFonts w:ascii="OpenSymbol" w:hAnsi="OpenSymbol" w:eastAsia="OpenSymbol" w:cs="OpenSymbol"/>
    </w:rPr>
  </w:style>
  <w:style w:type="character" w:styleId="NumberingSymbols" w:customStyle="1">
    <w:name w:val="Numbering Symbols"/>
    <w:qFormat/>
    <w:rPr/>
  </w:style>
  <w:style w:type="character" w:styleId="VisitedInternetLink">
    <w:name w:val="FollowedHyperlink"/>
    <w:rPr>
      <w:color w:val="800000"/>
      <w:u w:val="single"/>
    </w:rPr>
  </w:style>
  <w:style w:type="paragraph" w:styleId="Heading" w:customStyle="1">
    <w:name w:val="Heading"/>
    <w:basedOn w:val="Normal"/>
    <w:next w:val="TextBody"/>
    <w:qFormat/>
    <w:pPr>
      <w:keepNext w:val="true"/>
      <w:spacing w:before="240" w:after="120"/>
    </w:pPr>
    <w:rPr>
      <w:rFonts w:ascii="Calibri" w:hAnsi="Calibri" w:eastAsia="Microsoft YaHei" w:cs="Arial"/>
      <w:sz w:val="28"/>
      <w:szCs w:val="28"/>
    </w:rPr>
  </w:style>
  <w:style w:type="paragraph" w:styleId="TextBody">
    <w:name w:val="Body Text"/>
    <w:basedOn w:val="LO-normal"/>
    <w:link w:val="BodyTextChar"/>
    <w:uiPriority w:val="99"/>
    <w:pPr/>
    <w:rPr>
      <w:sz w:val="22"/>
      <w:szCs w:val="22"/>
    </w:rPr>
  </w:style>
  <w:style w:type="paragraph" w:styleId="List">
    <w:name w:val="List"/>
    <w:basedOn w:val="TextBody"/>
    <w:pPr/>
    <w:rPr>
      <w:rFonts w:ascii="Calibri" w:hAnsi="Calibri" w:cs="Arial"/>
    </w:rPr>
  </w:style>
  <w:style w:type="paragraph" w:styleId="Caption">
    <w:name w:val="Caption"/>
    <w:basedOn w:val="Normal"/>
    <w:qFormat/>
    <w:pPr>
      <w:suppressLineNumbers/>
      <w:spacing w:before="120" w:after="120"/>
    </w:pPr>
    <w:rPr>
      <w:rFonts w:ascii="Calibri" w:hAnsi="Calibri" w:cs="Arial"/>
      <w:i/>
      <w:iCs/>
      <w:sz w:val="24"/>
      <w:szCs w:val="24"/>
    </w:rPr>
  </w:style>
  <w:style w:type="paragraph" w:styleId="Index" w:customStyle="1">
    <w:name w:val="Index"/>
    <w:basedOn w:val="Normal"/>
    <w:qFormat/>
    <w:pPr>
      <w:suppressLineNumbers/>
    </w:pPr>
    <w:rPr>
      <w:rFonts w:ascii="Calibri" w:hAnsi="Calibri" w:cs="Arial"/>
    </w:rPr>
  </w:style>
  <w:style w:type="paragraph" w:styleId="Caption1">
    <w:name w:val="caption"/>
    <w:basedOn w:val="Normal"/>
    <w:qFormat/>
    <w:pPr>
      <w:suppressLineNumbers/>
      <w:spacing w:before="120" w:after="120"/>
    </w:pPr>
    <w:rPr>
      <w:rFonts w:ascii="Calibri" w:hAnsi="Calibri" w:cs="Arial"/>
      <w:i/>
      <w:iCs/>
      <w:sz w:val="24"/>
      <w:szCs w:val="24"/>
    </w:rPr>
  </w:style>
  <w:style w:type="paragraph" w:styleId="LO-normal" w:customStyle="1">
    <w:name w:val="LO-normal"/>
    <w:qFormat/>
    <w:pPr>
      <w:widowControl/>
      <w:suppressAutoHyphens w:val="true"/>
      <w:bidi w:val="0"/>
      <w:spacing w:before="0" w:after="0"/>
      <w:jc w:val="left"/>
    </w:pPr>
    <w:rPr>
      <w:rFonts w:ascii="Courier New" w:hAnsi="Courier New" w:eastAsia="Courier New" w:cs="Courier New"/>
      <w:color w:val="auto"/>
      <w:kern w:val="0"/>
      <w:sz w:val="20"/>
      <w:szCs w:val="20"/>
      <w:lang w:val="bg-BG" w:eastAsia="zh-CN" w:bidi="hi-IN"/>
    </w:rPr>
  </w:style>
  <w:style w:type="paragraph" w:styleId="Title">
    <w:name w:val="Title"/>
    <w:basedOn w:val="LO-normal"/>
    <w:next w:val="LO-normal"/>
    <w:uiPriority w:val="10"/>
    <w:qFormat/>
    <w:pPr>
      <w:keepNext w:val="true"/>
      <w:keepLines/>
      <w:spacing w:before="480" w:after="120"/>
    </w:pPr>
    <w:rPr>
      <w:b/>
      <w:sz w:val="72"/>
      <w:szCs w:val="72"/>
    </w:rPr>
  </w:style>
  <w:style w:type="paragraph" w:styleId="HeaderandFooter" w:customStyle="1">
    <w:name w:val="Header and Footer"/>
    <w:basedOn w:val="Normal"/>
    <w:qFormat/>
    <w:pPr/>
    <w:rPr/>
  </w:style>
  <w:style w:type="paragraph" w:styleId="Header">
    <w:name w:val="Header"/>
    <w:basedOn w:val="LO-normal"/>
    <w:link w:val="HeaderChar"/>
    <w:uiPriority w:val="99"/>
    <w:pPr>
      <w:tabs>
        <w:tab w:val="clear" w:pos="720"/>
        <w:tab w:val="center" w:pos="4320" w:leader="none"/>
        <w:tab w:val="right" w:pos="8640" w:leader="none"/>
      </w:tabs>
    </w:pPr>
    <w:rPr/>
  </w:style>
  <w:style w:type="paragraph" w:styleId="Footer">
    <w:name w:val="Footer"/>
    <w:basedOn w:val="LO-normal"/>
    <w:link w:val="FooterChar"/>
    <w:uiPriority w:val="99"/>
    <w:pPr>
      <w:tabs>
        <w:tab w:val="clear" w:pos="720"/>
        <w:tab w:val="center" w:pos="4320" w:leader="none"/>
        <w:tab w:val="right" w:pos="8640" w:leader="none"/>
      </w:tabs>
    </w:pPr>
    <w:rPr/>
  </w:style>
  <w:style w:type="paragraph" w:styleId="TitleLine" w:customStyle="1">
    <w:name w:val="Title Line"/>
    <w:basedOn w:val="LO-normal"/>
    <w:uiPriority w:val="99"/>
    <w:qFormat/>
    <w:pPr>
      <w:jc w:val="center"/>
    </w:pPr>
    <w:rPr>
      <w:rFonts w:ascii="Arial" w:hAnsi="Arial" w:cs="Arial"/>
      <w:b/>
      <w:bCs/>
      <w:sz w:val="28"/>
      <w:szCs w:val="28"/>
    </w:rPr>
  </w:style>
  <w:style w:type="paragraph" w:styleId="Affiliation" w:customStyle="1">
    <w:name w:val="Affiliation"/>
    <w:basedOn w:val="LO-normal"/>
    <w:uiPriority w:val="99"/>
    <w:qFormat/>
    <w:pPr>
      <w:jc w:val="center"/>
    </w:pPr>
    <w:rPr>
      <w:rFonts w:ascii="Arial" w:hAnsi="Arial" w:cs="Arial"/>
      <w:i/>
      <w:iCs/>
      <w:sz w:val="24"/>
      <w:szCs w:val="24"/>
      <w:lang w:val="de-DE"/>
    </w:rPr>
  </w:style>
  <w:style w:type="paragraph" w:styleId="Author" w:customStyle="1">
    <w:name w:val="Author"/>
    <w:basedOn w:val="Affiliation"/>
    <w:uiPriority w:val="99"/>
    <w:qFormat/>
    <w:pPr/>
    <w:rPr>
      <w:i w:val="false"/>
      <w:iCs w:val="false"/>
    </w:rPr>
  </w:style>
  <w:style w:type="paragraph" w:styleId="BodyText2">
    <w:name w:val="Body Text 2"/>
    <w:basedOn w:val="LO-normal"/>
    <w:link w:val="BodyText2Char"/>
    <w:uiPriority w:val="99"/>
    <w:qFormat/>
    <w:pPr>
      <w:jc w:val="both"/>
    </w:pPr>
    <w:rPr>
      <w:rFonts w:ascii="Arial" w:hAnsi="Arial" w:cs="Arial"/>
    </w:rPr>
  </w:style>
  <w:style w:type="paragraph" w:styleId="ListParagraph">
    <w:name w:val="List Paragraph"/>
    <w:basedOn w:val="LO-normal"/>
    <w:uiPriority w:val="34"/>
    <w:qFormat/>
    <w:rsid w:val="00952ff3"/>
    <w:pPr>
      <w:spacing w:before="0" w:after="0"/>
      <w:ind w:left="720" w:hanging="0"/>
      <w:contextualSpacing/>
    </w:pPr>
    <w:rPr/>
  </w:style>
  <w:style w:type="paragraph" w:styleId="Subtitle">
    <w:name w:val="Subtitle"/>
    <w:basedOn w:val="LO-normal"/>
    <w:next w:val="LO-normal"/>
    <w:uiPriority w:val="11"/>
    <w:qFormat/>
    <w:pPr>
      <w:keepNext w:val="true"/>
      <w:keepLines/>
      <w:spacing w:before="360" w:after="80"/>
    </w:pPr>
    <w:rPr>
      <w:rFonts w:ascii="Georgia" w:hAnsi="Georgia" w:eastAsia="Georgia" w:cs="Georgia"/>
      <w:i/>
      <w:color w:val="666666"/>
      <w:sz w:val="48"/>
      <w:szCs w:val="48"/>
    </w:rPr>
  </w:style>
  <w:style w:type="paragraph" w:styleId="FrameContents" w:customStyle="1">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99"/>
    <w:rsid w:val="004b20cd"/>
    <w:rPr>
      <w:lang w:val="en-US" w:eastAsia="en-US" w:bidi="my-MM"/>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eaUN5bZxWOa+PAEM2p6LzdiY38w==">CgMxLjA4AHIhMVpyUTJYdUphSWVLdzZuVXI2Vm8taTQzUHVzS0IyNVc3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530</TotalTime>
  <Application>LibreOffice/7.5.4.2$Windows_X86_64 LibreOffice_project/36ccfdc35048b057fd9854c757a8b67ec53977b6</Application>
  <AppVersion>15.0000</AppVersion>
  <Pages>7</Pages>
  <Words>2350</Words>
  <Characters>13837</Characters>
  <CharactersWithSpaces>16142</CharactersWithSpaces>
  <Paragraphs>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2022-01-10T16:12:00Z</dcterms:created>
  <dc:creator>ICMM</dc:creator>
  <dc:description/>
  <dc:language>bg-BG</dc:language>
  <cp:lastModifiedBy/>
  <dcterms:modified xsi:type="dcterms:W3CDTF">2024-04-17T22:54:20Z</dcterms:modified>
  <cp:revision>58</cp:revision>
  <dc:subject/>
  <dc:title/>
</cp:coreProperties>
</file>

<file path=docProps/custom.xml><?xml version="1.0" encoding="utf-8"?>
<Properties xmlns="http://schemas.openxmlformats.org/officeDocument/2006/custom-properties" xmlns:vt="http://schemas.openxmlformats.org/officeDocument/2006/docPropsVTypes"/>
</file>