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207B3" w14:textId="77777777" w:rsidR="00B83E9B" w:rsidRPr="0092315A" w:rsidRDefault="002409C9" w:rsidP="009231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15A">
        <w:rPr>
          <w:rFonts w:ascii="Times New Roman" w:hAnsi="Times New Roman" w:cs="Times New Roman"/>
          <w:b/>
          <w:sz w:val="28"/>
          <w:szCs w:val="28"/>
        </w:rPr>
        <w:t>Алгоритм Герцеля</w:t>
      </w:r>
    </w:p>
    <w:p w14:paraId="05E8E92E" w14:textId="2975801B" w:rsidR="002409C9" w:rsidRPr="0092315A" w:rsidRDefault="00A04537" w:rsidP="0092315A">
      <w:pPr>
        <w:shd w:val="clear" w:color="auto" w:fill="FFFFFF"/>
        <w:spacing w:before="100" w:beforeAutospacing="1" w:after="24" w:line="360" w:lineRule="auto"/>
        <w:ind w:left="384" w:firstLine="32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2315A">
        <w:rPr>
          <w:rFonts w:ascii="Times New Roman" w:hAnsi="Times New Roman" w:cs="Times New Roman"/>
          <w:sz w:val="28"/>
          <w:szCs w:val="28"/>
        </w:rPr>
        <w:t>Как известно, одним из наиболее эффективным методом спектрального анализа является быстрое преобразование Фурье</w:t>
      </w:r>
      <w:r w:rsidR="002148B1" w:rsidRPr="0092315A">
        <w:rPr>
          <w:rFonts w:ascii="Times New Roman" w:hAnsi="Times New Roman" w:cs="Times New Roman"/>
          <w:sz w:val="28"/>
          <w:szCs w:val="28"/>
        </w:rPr>
        <w:t xml:space="preserve"> (БПФ)</w:t>
      </w:r>
      <w:r w:rsidRPr="0092315A">
        <w:rPr>
          <w:rFonts w:ascii="Times New Roman" w:hAnsi="Times New Roman" w:cs="Times New Roman"/>
          <w:sz w:val="28"/>
          <w:szCs w:val="28"/>
        </w:rPr>
        <w:t xml:space="preserve"> [Сюзев, </w:t>
      </w:r>
      <w:r w:rsidRPr="0092315A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Нуссбаумер Г.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Быстрое преобразование Фурье и алгоритмы вычисления сверток. — М.: Радио и связь, 1985], позволяющее получить полный набор частотных отсчетов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в диапазоне от </w:t>
      </w:r>
      <w:r w:rsidR="008F59C7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нуля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 половины частоты дискретизации для временной последовательности x(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сигнала.</w:t>
      </w:r>
      <w:r w:rsidR="008F59C7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практике в некоторых случаях нет необходимости в получении полного частотного спектра сигнала, но требуется определение мощности одной или нескольких определенных гармоник.</w:t>
      </w:r>
    </w:p>
    <w:p w14:paraId="534648CD" w14:textId="52574019" w:rsidR="008F59C7" w:rsidRPr="0092315A" w:rsidRDefault="008F59C7" w:rsidP="0092315A">
      <w:pPr>
        <w:shd w:val="clear" w:color="auto" w:fill="FFFFFF"/>
        <w:spacing w:before="100" w:beforeAutospacing="1" w:after="24" w:line="360" w:lineRule="auto"/>
        <w:ind w:left="384" w:firstLine="32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Одним из наиболее широко используемых примеров устройств, применяемых в повседневной жизни и использующих алгоритмы выборочного спектрального анализа, является приемник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DTMF</w:t>
      </w:r>
      <w:r w:rsidR="00766232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r w:rsidR="00766232" w:rsidRPr="0092315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Dual-Tone Multi-Frequency)</w:t>
      </w:r>
      <w:r w:rsidR="00766232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сигналов мобильн</w:t>
      </w:r>
      <w:r w:rsidR="00766232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ого или стационарного телефона. </w:t>
      </w:r>
      <w:r w:rsidR="00552AA6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DTMF</w:t>
      </w:r>
      <w:r w:rsidR="00552AA6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-сигнал представляет собой двухтональный многочастотный аналоговый сигнал, используемый для набора телефонного номера и ручного ввода команд при использовании абонентов интерактивных телефонных систем. </w:t>
      </w:r>
      <w:r w:rsidR="00E80B26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кодирования любого символа клавиатуры телефона необходимо использовать сигнал, представляющий собой сумму двух синусоид, частоты которых определяются с помощью таблицы 1.</w:t>
      </w:r>
    </w:p>
    <w:p w14:paraId="7842DFA9" w14:textId="4F41CB17" w:rsidR="00E80B26" w:rsidRPr="00F8462B" w:rsidRDefault="00E80B26" w:rsidP="0092315A">
      <w:pPr>
        <w:shd w:val="clear" w:color="auto" w:fill="FFFFFF"/>
        <w:spacing w:before="100" w:beforeAutospacing="1" w:after="24" w:line="360" w:lineRule="auto"/>
        <w:ind w:left="384" w:firstLine="32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Таблица 1.</w:t>
      </w:r>
      <w:r w:rsidR="00F8462B" w:rsidRPr="00F846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F846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Соответствие клавиши клавиатуры и частоты</w:t>
      </w:r>
    </w:p>
    <w:p w14:paraId="53649AAF" w14:textId="29567A84" w:rsidR="00E80B26" w:rsidRPr="0092315A" w:rsidRDefault="00F8462B" w:rsidP="0092315A">
      <w:pPr>
        <w:shd w:val="clear" w:color="auto" w:fill="FFFFFF"/>
        <w:spacing w:before="100" w:beforeAutospacing="1" w:after="24" w:line="360" w:lineRule="auto"/>
        <w:ind w:left="384" w:firstLine="3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A6EEFE" wp14:editId="5AD78D90">
            <wp:extent cx="3508301" cy="178590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191" cy="17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2F" w:rsidRPr="009231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E99249D" w14:textId="11EAA1E1" w:rsidR="002409C9" w:rsidRPr="0092315A" w:rsidRDefault="002148B1" w:rsidP="0092315A">
      <w:pPr>
        <w:spacing w:line="360" w:lineRule="auto"/>
        <w:ind w:firstLine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2315A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Соответственно, для декодирования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DTMF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-сигнала необходимо провести оценку мощности каждой из восьми гармоник. </w:t>
      </w:r>
      <w:r w:rsidR="00B7782F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данном случае применение алгоритма БПФ является нерациональным. Альтернативным вариантом может являться применение дискретного преобразования Фурье </w:t>
      </w:r>
    </w:p>
    <w:p w14:paraId="7150E4C4" w14:textId="76F95591" w:rsidR="00B7782F" w:rsidRPr="0092315A" w:rsidRDefault="00B7782F" w:rsidP="0092315A">
      <w:pPr>
        <w:spacing w:line="360" w:lineRule="auto"/>
        <w:ind w:firstLine="384"/>
        <w:jc w:val="center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4BCC2E" wp14:editId="040CF999">
            <wp:extent cx="1777041" cy="61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773"/>
                    <a:stretch/>
                  </pic:blipFill>
                  <pic:spPr bwMode="auto">
                    <a:xfrm>
                      <a:off x="0" y="0"/>
                      <a:ext cx="1777579" cy="61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315A">
        <w:rPr>
          <w:rFonts w:ascii="Times New Roman" w:hAnsi="Times New Roman" w:cs="Times New Roman"/>
          <w:sz w:val="28"/>
          <w:szCs w:val="28"/>
        </w:rPr>
        <w:t>,</w:t>
      </w:r>
    </w:p>
    <w:p w14:paraId="09F6A306" w14:textId="682E8E90" w:rsidR="00B7782F" w:rsidRPr="00F8462B" w:rsidRDefault="00B7782F" w:rsidP="009231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15A">
        <w:rPr>
          <w:rFonts w:ascii="Times New Roman" w:hAnsi="Times New Roman" w:cs="Times New Roman"/>
          <w:sz w:val="28"/>
          <w:szCs w:val="28"/>
        </w:rPr>
        <w:t>но более эффективным является применение алгоритма Герцеля</w:t>
      </w:r>
      <w:r w:rsidR="00B22C2C" w:rsidRPr="0092315A">
        <w:rPr>
          <w:rFonts w:ascii="Times New Roman" w:hAnsi="Times New Roman" w:cs="Times New Roman"/>
          <w:sz w:val="28"/>
          <w:szCs w:val="28"/>
        </w:rPr>
        <w:t xml:space="preserve"> [Goertzel G. An Algorithm for the Evaluation of Finite Trigonometric Series. </w:t>
      </w:r>
      <w:r w:rsidR="00B22C2C" w:rsidRPr="00F8462B">
        <w:rPr>
          <w:rFonts w:ascii="Times New Roman" w:hAnsi="Times New Roman" w:cs="Times New Roman"/>
          <w:sz w:val="28"/>
          <w:szCs w:val="28"/>
          <w:lang w:val="en-US"/>
        </w:rPr>
        <w:t>The American Mathematical Monthly, Vol. 65, No. 1, Jan., 1958, pp. 34-35.</w:t>
      </w:r>
      <w:r w:rsidR="00B22C2C" w:rsidRPr="0092315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846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7398A4" w14:textId="279CDA67" w:rsidR="00B7782F" w:rsidRPr="00F8462B" w:rsidRDefault="00B22C2C" w:rsidP="0092315A">
      <w:pPr>
        <w:spacing w:line="360" w:lineRule="auto"/>
        <w:ind w:firstLine="384"/>
        <w:rPr>
          <w:rFonts w:ascii="Times New Roman" w:hAnsi="Times New Roman" w:cs="Times New Roman"/>
          <w:sz w:val="28"/>
          <w:szCs w:val="28"/>
          <w:lang w:val="en-US"/>
        </w:rPr>
      </w:pPr>
      <w:r w:rsidRPr="0092315A">
        <w:rPr>
          <w:rFonts w:ascii="Times New Roman" w:hAnsi="Times New Roman" w:cs="Times New Roman"/>
          <w:sz w:val="28"/>
          <w:szCs w:val="28"/>
        </w:rPr>
        <w:t>Алгоритм</w:t>
      </w:r>
      <w:r w:rsidRPr="00F84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15A">
        <w:rPr>
          <w:rFonts w:ascii="Times New Roman" w:hAnsi="Times New Roman" w:cs="Times New Roman"/>
          <w:sz w:val="28"/>
          <w:szCs w:val="28"/>
        </w:rPr>
        <w:t>Герцеля</w:t>
      </w:r>
      <w:r w:rsidRPr="00F84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15A">
        <w:rPr>
          <w:rFonts w:ascii="Times New Roman" w:hAnsi="Times New Roman" w:cs="Times New Roman"/>
          <w:sz w:val="28"/>
          <w:szCs w:val="28"/>
        </w:rPr>
        <w:t>заключается</w:t>
      </w:r>
      <w:r w:rsidRPr="00F84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15A">
        <w:rPr>
          <w:rFonts w:ascii="Times New Roman" w:hAnsi="Times New Roman" w:cs="Times New Roman"/>
          <w:sz w:val="28"/>
          <w:szCs w:val="28"/>
        </w:rPr>
        <w:t>в</w:t>
      </w:r>
      <w:r w:rsidRPr="00F846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15A">
        <w:rPr>
          <w:rFonts w:ascii="Times New Roman" w:hAnsi="Times New Roman" w:cs="Times New Roman"/>
          <w:sz w:val="28"/>
          <w:szCs w:val="28"/>
        </w:rPr>
        <w:t>следующем</w:t>
      </w:r>
      <w:r w:rsidRPr="00F846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73781C" w14:textId="32B6215F" w:rsidR="00B22C2C" w:rsidRPr="0092315A" w:rsidRDefault="00F6524F" w:rsidP="0092315A">
      <w:pPr>
        <w:spacing w:line="360" w:lineRule="auto"/>
        <w:ind w:firstLine="384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D2E0C" wp14:editId="0F75FA3C">
            <wp:extent cx="7008863" cy="780677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2902" cy="8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1899" w14:textId="3C0D7E2E" w:rsidR="00F6524F" w:rsidRDefault="00F6524F" w:rsidP="0092315A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sz w:val="28"/>
          <w:szCs w:val="28"/>
        </w:rPr>
        <w:t>По своей сути алгоритм Герцеля осуществляет фильтрацию сигнала цифровым фильтром с бесконечной импульсной характеристикой</w:t>
      </w:r>
      <w:r w:rsidR="00D30A84" w:rsidRPr="0092315A">
        <w:rPr>
          <w:rFonts w:ascii="Times New Roman" w:hAnsi="Times New Roman" w:cs="Times New Roman"/>
          <w:sz w:val="28"/>
          <w:szCs w:val="28"/>
        </w:rPr>
        <w:t xml:space="preserve"> (фильтр Герцеля)</w:t>
      </w:r>
      <w:r w:rsidRPr="0092315A">
        <w:rPr>
          <w:rFonts w:ascii="Times New Roman" w:hAnsi="Times New Roman" w:cs="Times New Roman"/>
          <w:sz w:val="28"/>
          <w:szCs w:val="28"/>
        </w:rPr>
        <w:t>.</w:t>
      </w:r>
      <w:r w:rsidR="00D30A84" w:rsidRPr="0092315A">
        <w:rPr>
          <w:rFonts w:ascii="Times New Roman" w:hAnsi="Times New Roman" w:cs="Times New Roman"/>
          <w:sz w:val="28"/>
          <w:szCs w:val="28"/>
        </w:rPr>
        <w:t xml:space="preserve"> Пример амплитудно-частотной характеристики фильтра Герцеля приведен на рисунке 1.</w:t>
      </w:r>
    </w:p>
    <w:p w14:paraId="6CAE6EE5" w14:textId="4ADE0639" w:rsidR="00F8462B" w:rsidRPr="00F8462B" w:rsidRDefault="00F8462B" w:rsidP="0092315A">
      <w:pPr>
        <w:spacing w:line="360" w:lineRule="auto"/>
        <w:ind w:firstLine="3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62B">
        <w:rPr>
          <w:rFonts w:ascii="Times New Roman" w:hAnsi="Times New Roman" w:cs="Times New Roman"/>
          <w:b/>
          <w:sz w:val="28"/>
          <w:szCs w:val="28"/>
        </w:rPr>
        <w:t xml:space="preserve">Это функция </w:t>
      </w:r>
      <w:r w:rsidRPr="00F8462B">
        <w:rPr>
          <w:rFonts w:ascii="Times New Roman" w:hAnsi="Times New Roman" w:cs="Times New Roman"/>
          <w:b/>
          <w:sz w:val="28"/>
          <w:szCs w:val="28"/>
          <w:lang w:val="en-US"/>
        </w:rPr>
        <w:t>sin(x)/x</w:t>
      </w:r>
    </w:p>
    <w:p w14:paraId="041E7CF8" w14:textId="77777777" w:rsidR="002409C9" w:rsidRPr="0092315A" w:rsidRDefault="002409C9" w:rsidP="009231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F64A71" wp14:editId="30BBF7F4">
            <wp:extent cx="5274526" cy="2699490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85"/>
                    <a:stretch/>
                  </pic:blipFill>
                  <pic:spPr bwMode="auto">
                    <a:xfrm>
                      <a:off x="0" y="0"/>
                      <a:ext cx="5278904" cy="270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ACF928" w14:textId="22CA5C5A" w:rsidR="002409C9" w:rsidRDefault="002409C9" w:rsidP="00923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sz w:val="28"/>
          <w:szCs w:val="28"/>
        </w:rPr>
        <w:lastRenderedPageBreak/>
        <w:t>Рис. Амплитудно-частотная характеристика фильтра Герцеля с резонансной частотой 2 кГц</w:t>
      </w:r>
      <w:r w:rsidR="0092315A">
        <w:rPr>
          <w:rFonts w:ascii="Times New Roman" w:hAnsi="Times New Roman" w:cs="Times New Roman"/>
          <w:sz w:val="28"/>
          <w:szCs w:val="28"/>
        </w:rPr>
        <w:t>.</w:t>
      </w:r>
    </w:p>
    <w:p w14:paraId="4845A0BE" w14:textId="1527B6C3" w:rsidR="0092315A" w:rsidRPr="0092315A" w:rsidRDefault="0092315A" w:rsidP="009231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Наряду с преимуществами, связанными с вычислительной сложностью, алгоритм Герцеля имеет недостатки в части устойчивости, свойственные всем фильтрам с бесконечной импульсной характеристикой.</w:t>
      </w:r>
    </w:p>
    <w:sectPr w:rsidR="0092315A" w:rsidRPr="0092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35221"/>
    <w:multiLevelType w:val="multilevel"/>
    <w:tmpl w:val="FCBC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C9"/>
    <w:rsid w:val="002148B1"/>
    <w:rsid w:val="002409C9"/>
    <w:rsid w:val="00552AA6"/>
    <w:rsid w:val="00766232"/>
    <w:rsid w:val="008F59C7"/>
    <w:rsid w:val="00907859"/>
    <w:rsid w:val="0092315A"/>
    <w:rsid w:val="00A04537"/>
    <w:rsid w:val="00B22C2C"/>
    <w:rsid w:val="00B7782F"/>
    <w:rsid w:val="00B83E9B"/>
    <w:rsid w:val="00D30A84"/>
    <w:rsid w:val="00D42582"/>
    <w:rsid w:val="00E80B26"/>
    <w:rsid w:val="00F6524F"/>
    <w:rsid w:val="00F8462B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A008"/>
  <w15:chartTrackingRefBased/>
  <w15:docId w15:val="{CFC94935-987A-4300-B401-68128763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045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045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045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045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0453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04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04537"/>
    <w:rPr>
      <w:rFonts w:ascii="Segoe UI" w:hAnsi="Segoe UI" w:cs="Segoe UI"/>
      <w:sz w:val="18"/>
      <w:szCs w:val="18"/>
    </w:rPr>
  </w:style>
  <w:style w:type="character" w:customStyle="1" w:styleId="citation">
    <w:name w:val="citation"/>
    <w:basedOn w:val="a0"/>
    <w:rsid w:val="00A0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dsplab dsplab</dc:creator>
  <cp:keywords/>
  <dc:description/>
  <cp:lastModifiedBy>Тамара Ким</cp:lastModifiedBy>
  <cp:revision>15</cp:revision>
  <dcterms:created xsi:type="dcterms:W3CDTF">2022-04-17T05:50:00Z</dcterms:created>
  <dcterms:modified xsi:type="dcterms:W3CDTF">2022-05-25T15:09:00Z</dcterms:modified>
</cp:coreProperties>
</file>