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мат.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Валерьевич,</w:t>
      </w:r>
      <w:r>
        <w:t xml:space="preserve"> </w:t>
      </w:r>
      <w:r>
        <w:t xml:space="preserve">1132223499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НПМмд-02-22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алгоритмом для вероятностной проверки числа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алгоритмом для вероятностной проверки числа на простоту в программном виде.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ходе выполнения лабораторной работы было реализовано 3 вариации алгоритма для вероятностной проверки числа на простоту, использующих различные тесты.</w:t>
      </w:r>
    </w:p>
    <w:p>
      <w:pPr>
        <w:pStyle w:val="BodyText"/>
      </w:pPr>
      <w:r>
        <w:t xml:space="preserve">Среди них:</w:t>
      </w:r>
    </w:p>
    <w:p>
      <w:pPr>
        <w:numPr>
          <w:ilvl w:val="0"/>
          <w:numId w:val="1001"/>
        </w:numPr>
        <w:pStyle w:val="Compact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тест Соловэя-Штрассена</w:t>
      </w:r>
    </w:p>
    <w:p>
      <w:pPr>
        <w:numPr>
          <w:ilvl w:val="0"/>
          <w:numId w:val="1001"/>
        </w:numPr>
        <w:pStyle w:val="Compact"/>
      </w:pPr>
      <w:r>
        <w:t xml:space="preserve">тест Миллера-Рабина</w:t>
      </w:r>
    </w:p>
    <w:p>
      <w:pPr>
        <w:pStyle w:val="FirstParagraph"/>
      </w:pPr>
      <w:r>
        <w:t xml:space="preserve">Программный код представлен в качестве листинга в конце отчета.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ознакомился с алгоритмом для вероятностной проверки числа на простоту, а так же мне удалось реализовать вариции этого алгоритма на языке программирования Python.</w:t>
      </w:r>
    </w:p>
    <w:bookmarkEnd w:id="23"/>
    <w:bookmarkStart w:id="24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CommentTok"/>
        </w:rPr>
        <w:t xml:space="preserve"># Проверка чисел на простоту является составной частью</w:t>
      </w:r>
      <w:r>
        <w:br/>
      </w:r>
      <w:r>
        <w:rPr>
          <w:rStyle w:val="CommentTok"/>
        </w:rPr>
        <w:t xml:space="preserve"># алгоритмов генерации простых чисел, применяемых в криптографии с открытым ключом.</w:t>
      </w:r>
      <w:r>
        <w:br/>
      </w:r>
      <w:r>
        <w:rPr>
          <w:rStyle w:val="CommentTok"/>
        </w:rPr>
        <w:t xml:space="preserve"># АПП бывают вероятностные и детерминированные. Рассмотрим вероятностные алгоритмы.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rnd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dividers_count(n,divider):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(n_copy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divider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n_copy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divider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jacobi(n,a):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can't be lower than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res,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a_copy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(a_copy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(a_copy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dividers_count(a_copy,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a_copy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((n_copy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(n_copy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((n_copy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(n_copy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((n_copy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        a_copy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n_copy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    n_copy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ferma_test(n): </w:t>
      </w:r>
      <w:r>
        <w:rPr>
          <w:rStyle w:val="CommentTok"/>
        </w:rPr>
        <w:t xml:space="preserve">#n&gt;=5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can't be lower than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solovayStrassen_test(n):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can't be lower than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(a,((n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jacobi(n,a)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millerRabin_test(n):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can't be lower than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dividers_count(n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rnd.randrange(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(a,r)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is_prime(n):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если тест возрващают True 20 раз, n очень вероятно простое число.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((ferma_test(n))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if true - вероятно простое</w:t>
      </w:r>
      <w:r>
        <w:br/>
      </w:r>
      <w:r>
        <w:rPr>
          <w:rStyle w:val="CommentTok"/>
        </w:rPr>
        <w:t xml:space="preserve"># if false - составное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n: 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(is_prime(n))</w:t>
      </w:r>
      <w:r>
        <w:br/>
      </w:r>
      <w:r>
        <w:br/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Студент: Дидусь Кирилл Валерьевич, 1132223499; Группа: НПМмд-02-22; Преподаватель: Кулябов Дмитрий Сергеевич,; д-р.ф.-м.н., проф.</dc:creator>
  <dc:language>ru-RU</dc:language>
  <cp:keywords/>
  <dcterms:created xsi:type="dcterms:W3CDTF">2022-11-10T17:06:29Z</dcterms:created>
  <dcterms:modified xsi:type="dcterms:W3CDTF">2022-11-10T17:06:29Z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Москва, 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Title">
    <vt:lpwstr>Список иллюстраций</vt:lpwstr>
  </property>
  <property fmtid="{D5CDD505-2E9C-101B-9397-08002B2CF9AE}" pid="46" name="lolTitle">
    <vt:lpwstr>Листинги</vt:lpwstr>
  </property>
  <property fmtid="{D5CDD505-2E9C-101B-9397-08002B2CF9AE}" pid="47" name="lot">
    <vt:lpwstr>True</vt:lpwstr>
  </property>
  <property fmtid="{D5CDD505-2E9C-101B-9397-08002B2CF9AE}" pid="48" name="lotTitle">
    <vt:lpwstr>Список таблиц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Scale=MatchLowercase,Scale=0.9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По предмету мат. основы защиты информации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