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По</w:t>
      </w:r>
      <w:r>
        <w:t xml:space="preserve"> </w:t>
      </w:r>
      <w:r>
        <w:t xml:space="preserve">предмету</w:t>
      </w:r>
      <w:r>
        <w:t xml:space="preserve"> </w:t>
      </w:r>
      <w:r>
        <w:t xml:space="preserve">мат.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</w:p>
    <w:p>
      <w:pPr>
        <w:pStyle w:val="Author"/>
      </w:pPr>
      <w:r>
        <w:t xml:space="preserve">Студент:</w:t>
      </w:r>
      <w:r>
        <w:t xml:space="preserve"> </w:t>
      </w:r>
      <w:r>
        <w:t xml:space="preserve">Дидусь</w:t>
      </w:r>
      <w:r>
        <w:t xml:space="preserve"> </w:t>
      </w:r>
      <w:r>
        <w:t xml:space="preserve">Кирилл</w:t>
      </w:r>
      <w:r>
        <w:t xml:space="preserve"> </w:t>
      </w:r>
      <w:r>
        <w:t xml:space="preserve">Валерьевич,</w:t>
      </w:r>
      <w:r>
        <w:t xml:space="preserve"> </w:t>
      </w:r>
      <w:r>
        <w:t xml:space="preserve">1132223499</w:t>
      </w:r>
    </w:p>
    <w:p>
      <w:pPr>
        <w:pStyle w:val="Author"/>
      </w:pPr>
      <w:r>
        <w:t xml:space="preserve">Группа:</w:t>
      </w:r>
      <w:r>
        <w:t xml:space="preserve"> </w:t>
      </w:r>
      <w:r>
        <w:t xml:space="preserve">НПМмд-02-22</w:t>
      </w:r>
    </w:p>
    <w:p>
      <w:pPr>
        <w:pStyle w:val="Author"/>
      </w:pPr>
      <w:r>
        <w:t xml:space="preserve">Преподаватель:</w:t>
      </w:r>
      <w:r>
        <w:t xml:space="preserve"> </w:t>
      </w:r>
      <w:r>
        <w:t xml:space="preserve">Кулябов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Сергеевич,</w:t>
      </w:r>
    </w:p>
    <w:p>
      <w:pPr>
        <w:pStyle w:val="Author"/>
      </w:pPr>
      <w:r>
        <w:t xml:space="preserve">д-р.ф.-м.н.,</w:t>
      </w:r>
      <w:r>
        <w:t xml:space="preserve"> </w:t>
      </w:r>
      <w:r>
        <w:t xml:space="preserve">проф.</w:t>
      </w:r>
    </w:p>
    <w:p>
      <w:pPr>
        <w:pStyle w:val="Date"/>
      </w:pPr>
      <w:r>
        <w:t xml:space="preserve">Москва,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лабораторной работы является ознакомление с алгоритмом по разложению числа на множители.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Реализовать алгоритм для разложения заданного числа на 2 нетривиальных сомножителя.</w:t>
      </w:r>
    </w:p>
    <w:bookmarkEnd w:id="21"/>
    <w:bookmarkStart w:id="2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ходе выполнения лабораторной работы было реализован алгоритм для разложения заданного числа на 2 нетривиальных сомножителя. Он реализует p-метод Полларда.</w:t>
      </w:r>
    </w:p>
    <w:p>
      <w:pPr>
        <w:pStyle w:val="BodyText"/>
      </w:pPr>
      <w:r>
        <w:t xml:space="preserve">Программный код представлен в качестве листинга в конце отчета.</w:t>
      </w:r>
    </w:p>
    <w:bookmarkEnd w:id="22"/>
    <w:bookmarkStart w:id="2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Таким образом, была достигнута цель, поставленная в начале лабораторной работы: я ознакомился с алгоритмом для разложения заданного числа на 2 нетривиальных сомножителя, а так же мне удалось реализовать его на языке программирования Python.</w:t>
      </w:r>
    </w:p>
    <w:bookmarkEnd w:id="23"/>
    <w:bookmarkStart w:id="24" w:name="листинг-программ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Листинг программы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math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p_pollard(n,c,func):</w:t>
      </w:r>
      <w:r>
        <w:br/>
      </w:r>
      <w:r>
        <w:rPr>
          <w:rStyle w:val="NormalTok"/>
        </w:rPr>
        <w:t xml:space="preserve">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 </w:t>
      </w:r>
      <w:r>
        <w:br/>
      </w:r>
      <w:r>
        <w:rPr>
          <w:rStyle w:val="NormalTok"/>
        </w:rPr>
        <w:t xml:space="preserve">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func(c,n)</w:t>
      </w:r>
      <w:r>
        <w:br/>
      </w:r>
      <w:r>
        <w:rPr>
          <w:rStyle w:val="NormalTok"/>
        </w:rPr>
        <w:t xml:space="preserve">    count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func(a,n)</w:t>
      </w:r>
      <w:r>
        <w:br/>
      </w:r>
      <w:r>
        <w:rPr>
          <w:rStyle w:val="NormalTok"/>
        </w:rPr>
        <w:t xml:space="preserve">        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func(b,n)</w:t>
      </w:r>
      <w:r>
        <w:br/>
      </w:r>
      <w:r>
        <w:rPr>
          <w:rStyle w:val="NormalTok"/>
        </w:rPr>
        <w:t xml:space="preserve">    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math.gcd(a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b,n) </w:t>
      </w:r>
      <w:r>
        <w:rPr>
          <w:rStyle w:val="CommentTok"/>
        </w:rPr>
        <w:t xml:space="preserve">#НОД</w:t>
      </w:r>
      <w:r>
        <w:br/>
      </w:r>
      <w:r>
        <w:rPr>
          <w:rStyle w:val="NormalTok"/>
        </w:rPr>
        <w:t xml:space="preserve">        count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((d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</w:t>
      </w:r>
      <w:r>
        <w:rPr>
          <w:rStyle w:val="NormalTok"/>
        </w:rPr>
        <w:t xml:space="preserve"> (d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n)):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(d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n): 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"делитель не найден"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(count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"ошибка вычисления"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func(x,n):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(x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n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(p_pollard(</w:t>
      </w:r>
      <w:r>
        <w:rPr>
          <w:rStyle w:val="DecValTok"/>
        </w:rPr>
        <w:t xml:space="preserve">133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,func))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6</dc:title>
  <dc:creator>Студент: Дидусь Кирилл Валерьевич, 1132223499; Группа: НПМмд-02-22; Преподаватель: Кулябов Дмитрий Сергеевич,; д-р.ф.-м.н., проф.</dc:creator>
  <dc:language>ru-RU</dc:language>
  <cp:keywords/>
  <dcterms:created xsi:type="dcterms:W3CDTF">2022-11-23T13:11:53Z</dcterms:created>
  <dcterms:modified xsi:type="dcterms:W3CDTF">2022-11-23T13:11:53Z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ate">
    <vt:lpwstr>Москва, 2022</vt:lpwstr>
  </property>
  <property fmtid="{D5CDD505-2E9C-101B-9397-08002B2CF9AE}" pid="21" name="documentclass">
    <vt:lpwstr>scrreprt</vt:lpwstr>
  </property>
  <property fmtid="{D5CDD505-2E9C-101B-9397-08002B2CF9AE}" pid="22" name="eqLabels">
    <vt:lpwstr>arabic</vt:lpwstr>
  </property>
  <property fmtid="{D5CDD505-2E9C-101B-9397-08002B2CF9AE}" pid="23" name="eqnBlockInlineMath">
    <vt:lpwstr>False</vt:lpwstr>
  </property>
  <property fmtid="{D5CDD505-2E9C-101B-9397-08002B2CF9AE}" pid="24" name="eqnBlockTemplate">
    <vt:lpwstr>ti</vt:lpwstr>
  </property>
  <property fmtid="{D5CDD505-2E9C-101B-9397-08002B2CF9AE}" pid="25" name="eqnIndexTemplate">
    <vt:lpwstr>(i)</vt:lpwstr>
  </property>
  <property fmtid="{D5CDD505-2E9C-101B-9397-08002B2CF9AE}" pid="26" name="eqnInlineTemplate">
    <vt:lpwstr>eequationNumberTeX{i}</vt:lpwstr>
  </property>
  <property fmtid="{D5CDD505-2E9C-101B-9397-08002B2CF9AE}" pid="27" name="eqnPrefix">
    <vt:lpwstr/>
  </property>
  <property fmtid="{D5CDD505-2E9C-101B-9397-08002B2CF9AE}" pid="28" name="eqnPrefixTemplate">
    <vt:lpwstr>p i</vt:lpwstr>
  </property>
  <property fmtid="{D5CDD505-2E9C-101B-9397-08002B2CF9AE}" pid="29" name="equationNumberTeX">
    <vt:lpwstr>\qquad</vt:lpwstr>
  </property>
  <property fmtid="{D5CDD505-2E9C-101B-9397-08002B2CF9AE}" pid="30" name="figLabels">
    <vt:lpwstr>arabic</vt:lpwstr>
  </property>
  <property fmtid="{D5CDD505-2E9C-101B-9397-08002B2CF9AE}" pid="31" name="figPrefix">
    <vt:lpwstr/>
  </property>
  <property fmtid="{D5CDD505-2E9C-101B-9397-08002B2CF9AE}" pid="32" name="figPrefixTemplate">
    <vt:lpwstr>p i</vt:lpwstr>
  </property>
  <property fmtid="{D5CDD505-2E9C-101B-9397-08002B2CF9AE}" pid="33" name="figureTemplate">
    <vt:lpwstr>figureTitle ititleDelim t</vt:lpwstr>
  </property>
  <property fmtid="{D5CDD505-2E9C-101B-9397-08002B2CF9AE}" pid="34" name="figureTitle">
    <vt:lpwstr>Рис.</vt:lpwstr>
  </property>
  <property fmtid="{D5CDD505-2E9C-101B-9397-08002B2CF9AE}" pid="35" name="fontsize">
    <vt:lpwstr>12pt</vt:lpwstr>
  </property>
  <property fmtid="{D5CDD505-2E9C-101B-9397-08002B2CF9AE}" pid="36" name="header-includes">
    <vt:lpwstr/>
  </property>
  <property fmtid="{D5CDD505-2E9C-101B-9397-08002B2CF9AE}" pid="37" name="indent">
    <vt:lpwstr>True</vt:lpwstr>
  </property>
  <property fmtid="{D5CDD505-2E9C-101B-9397-08002B2CF9AE}" pid="38" name="lastDelim">
    <vt:lpwstr>, </vt:lpwstr>
  </property>
  <property fmtid="{D5CDD505-2E9C-101B-9397-08002B2CF9AE}" pid="39" name="linestretch">
    <vt:lpwstr>1.5</vt:lpwstr>
  </property>
  <property fmtid="{D5CDD505-2E9C-101B-9397-08002B2CF9AE}" pid="40" name="linkReferences">
    <vt:lpwstr>False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Title">
    <vt:lpwstr>Список иллюстраций</vt:lpwstr>
  </property>
  <property fmtid="{D5CDD505-2E9C-101B-9397-08002B2CF9AE}" pid="46" name="lolTitle">
    <vt:lpwstr>Листинги</vt:lpwstr>
  </property>
  <property fmtid="{D5CDD505-2E9C-101B-9397-08002B2CF9AE}" pid="47" name="lot">
    <vt:lpwstr>True</vt:lpwstr>
  </property>
  <property fmtid="{D5CDD505-2E9C-101B-9397-08002B2CF9AE}" pid="48" name="lotTitle">
    <vt:lpwstr>Список таблиц</vt:lpwstr>
  </property>
  <property fmtid="{D5CDD505-2E9C-101B-9397-08002B2CF9AE}" pid="49" name="lstLabels">
    <vt:lpwstr>arabic</vt:lpwstr>
  </property>
  <property fmtid="{D5CDD505-2E9C-101B-9397-08002B2CF9AE}" pid="50" name="lstPrefix">
    <vt:lpwstr/>
  </property>
  <property fmtid="{D5CDD505-2E9C-101B-9397-08002B2CF9AE}" pid="51" name="lstPrefixTemplate">
    <vt:lpwstr>p i</vt:lpwstr>
  </property>
  <property fmtid="{D5CDD505-2E9C-101B-9397-08002B2CF9AE}" pid="52" name="mainfont">
    <vt:lpwstr>PT Serif</vt:lpwstr>
  </property>
  <property fmtid="{D5CDD505-2E9C-101B-9397-08002B2CF9AE}" pid="53" name="mainfontoptions">
    <vt:lpwstr>Ligatures=TeX</vt:lpwstr>
  </property>
  <property fmtid="{D5CDD505-2E9C-101B-9397-08002B2CF9AE}" pid="54" name="monofont">
    <vt:lpwstr>PT Mono</vt:lpwstr>
  </property>
  <property fmtid="{D5CDD505-2E9C-101B-9397-08002B2CF9AE}" pid="55" name="monofontoptions">
    <vt:lpwstr>Scale=MatchLowercase,Scale=0.9</vt:lpwstr>
  </property>
  <property fmtid="{D5CDD505-2E9C-101B-9397-08002B2CF9AE}" pid="56" name="nameInLink">
    <vt:lpwstr>False</vt:lpwstr>
  </property>
  <property fmtid="{D5CDD505-2E9C-101B-9397-08002B2CF9AE}" pid="57" name="numberSections">
    <vt:lpwstr>False</vt:lpwstr>
  </property>
  <property fmtid="{D5CDD505-2E9C-101B-9397-08002B2CF9AE}" pid="58" name="pairDelim">
    <vt:lpwstr>, </vt:lpwstr>
  </property>
  <property fmtid="{D5CDD505-2E9C-101B-9397-08002B2CF9AE}" pid="59" name="papersize">
    <vt:lpwstr>a4</vt:lpwstr>
  </property>
  <property fmtid="{D5CDD505-2E9C-101B-9397-08002B2CF9AE}" pid="60" name="polyglossia-lang">
    <vt:lpwstr/>
  </property>
  <property fmtid="{D5CDD505-2E9C-101B-9397-08002B2CF9AE}" pid="61" name="polyglossia-otherlangs">
    <vt:lpwstr/>
  </property>
  <property fmtid="{D5CDD505-2E9C-101B-9397-08002B2CF9AE}" pid="62" name="rangeDelim">
    <vt:lpwstr>-</vt:lpwstr>
  </property>
  <property fmtid="{D5CDD505-2E9C-101B-9397-08002B2CF9AE}" pid="63" name="refDelim">
    <vt:lpwstr>, </vt:lpwstr>
  </property>
  <property fmtid="{D5CDD505-2E9C-101B-9397-08002B2CF9AE}" pid="64" name="refIndexTemplate">
    <vt:lpwstr>isuf</vt:lpwstr>
  </property>
  <property fmtid="{D5CDD505-2E9C-101B-9397-08002B2CF9AE}" pid="65" name="romanfont">
    <vt:lpwstr>PT Serif</vt:lpwstr>
  </property>
  <property fmtid="{D5CDD505-2E9C-101B-9397-08002B2CF9AE}" pid="66" name="romanfontoptions">
    <vt:lpwstr>Ligatures=TeX</vt:lpwstr>
  </property>
  <property fmtid="{D5CDD505-2E9C-101B-9397-08002B2CF9AE}" pid="67" name="sansfont">
    <vt:lpwstr>PT Sans</vt:lpwstr>
  </property>
  <property fmtid="{D5CDD505-2E9C-101B-9397-08002B2CF9AE}" pid="68" name="sansfontoptions">
    <vt:lpwstr>Ligatures=TeX,Scale=MatchLowercase</vt:lpwstr>
  </property>
  <property fmtid="{D5CDD505-2E9C-101B-9397-08002B2CF9AE}" pid="69" name="secHeaderDelim">
    <vt:lpwstr> </vt:lpwstr>
  </property>
  <property fmtid="{D5CDD505-2E9C-101B-9397-08002B2CF9AE}" pid="70" name="secHeaderTemplate">
    <vt:lpwstr>isecHeaderDelim[n]t</vt:lpwstr>
  </property>
  <property fmtid="{D5CDD505-2E9C-101B-9397-08002B2CF9AE}" pid="71" name="secLabels">
    <vt:lpwstr>arabic</vt:lpwstr>
  </property>
  <property fmtid="{D5CDD505-2E9C-101B-9397-08002B2CF9AE}" pid="72" name="secPrefix">
    <vt:lpwstr/>
  </property>
  <property fmtid="{D5CDD505-2E9C-101B-9397-08002B2CF9AE}" pid="73" name="secPrefixTemplate">
    <vt:lpwstr>p i</vt:lpwstr>
  </property>
  <property fmtid="{D5CDD505-2E9C-101B-9397-08002B2CF9AE}" pid="74" name="sectionsDepth">
    <vt:lpwstr>0</vt:lpwstr>
  </property>
  <property fmtid="{D5CDD505-2E9C-101B-9397-08002B2CF9AE}" pid="75" name="subfigGrid">
    <vt:lpwstr>False</vt:lpwstr>
  </property>
  <property fmtid="{D5CDD505-2E9C-101B-9397-08002B2CF9AE}" pid="76" name="subfigLabels">
    <vt:lpwstr>alpha a</vt:lpwstr>
  </property>
  <property fmtid="{D5CDD505-2E9C-101B-9397-08002B2CF9AE}" pid="77" name="subfigureChildTemplate">
    <vt:lpwstr>i</vt:lpwstr>
  </property>
  <property fmtid="{D5CDD505-2E9C-101B-9397-08002B2CF9AE}" pid="78" name="subfigureRefIndexTemplate">
    <vt:lpwstr>isuf (s)</vt:lpwstr>
  </property>
  <property fmtid="{D5CDD505-2E9C-101B-9397-08002B2CF9AE}" pid="79" name="subfigureTemplate">
    <vt:lpwstr>figureTitle ititleDelim t. ccs</vt:lpwstr>
  </property>
  <property fmtid="{D5CDD505-2E9C-101B-9397-08002B2CF9AE}" pid="80" name="subtitle">
    <vt:lpwstr>По предмету мат. основы защиты информации</vt:lpwstr>
  </property>
  <property fmtid="{D5CDD505-2E9C-101B-9397-08002B2CF9AE}" pid="81" name="tableEqns">
    <vt:lpwstr>False</vt:lpwstr>
  </property>
  <property fmtid="{D5CDD505-2E9C-101B-9397-08002B2CF9AE}" pid="82" name="tableTemplate">
    <vt:lpwstr>tableTitle ititleDelim t</vt:lpwstr>
  </property>
  <property fmtid="{D5CDD505-2E9C-101B-9397-08002B2CF9AE}" pid="83" name="tableTitle">
    <vt:lpwstr>Таблица</vt:lpwstr>
  </property>
  <property fmtid="{D5CDD505-2E9C-101B-9397-08002B2CF9AE}" pid="84" name="tblLabels">
    <vt:lpwstr>arabic</vt:lpwstr>
  </property>
  <property fmtid="{D5CDD505-2E9C-101B-9397-08002B2CF9AE}" pid="85" name="tblPrefix">
    <vt:lpwstr/>
  </property>
  <property fmtid="{D5CDD505-2E9C-101B-9397-08002B2CF9AE}" pid="86" name="tblPrefixTemplate">
    <vt:lpwstr>p i</vt:lpwstr>
  </property>
  <property fmtid="{D5CDD505-2E9C-101B-9397-08002B2CF9AE}" pid="87" name="titleDelim">
    <vt:lpwstr>:</vt:lpwstr>
  </property>
  <property fmtid="{D5CDD505-2E9C-101B-9397-08002B2CF9AE}" pid="88" name="toc">
    <vt:lpwstr>True</vt:lpwstr>
  </property>
  <property fmtid="{D5CDD505-2E9C-101B-9397-08002B2CF9AE}" pid="89" name="toc-depth">
    <vt:lpwstr>2</vt:lpwstr>
  </property>
  <property fmtid="{D5CDD505-2E9C-101B-9397-08002B2CF9AE}" pid="90" name="toc-title">
    <vt:lpwstr>Содержание</vt:lpwstr>
  </property>
</Properties>
</file>