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11200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S(start=10925);</w:t>
      </w:r>
      <w:r>
        <w:br/>
      </w:r>
      <w:r>
        <w:rPr>
          <w:rStyle w:val="VerbatimChar"/>
        </w:rPr>
        <w:t xml:space="preserve">  Real I(start=230);</w:t>
      </w:r>
      <w:r>
        <w:br/>
      </w:r>
      <w:r>
        <w:rPr>
          <w:rStyle w:val="VerbatimChar"/>
        </w:rPr>
        <w:t xml:space="preserve">  Real R(start=45);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S(start=10925);</w:t>
      </w:r>
      <w:r>
        <w:br/>
      </w:r>
      <w:r>
        <w:rPr>
          <w:rStyle w:val="VerbatimChar"/>
        </w:rPr>
        <w:t xml:space="preserve">  Real I(start=230);</w:t>
      </w:r>
      <w:r>
        <w:br/>
      </w:r>
      <w:r>
        <w:rPr>
          <w:rStyle w:val="VerbatimChar"/>
        </w:rPr>
        <w:t xml:space="preserve">  Real R(start=45);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Кирилл Дроздков НПИбд-01-19</dc:creator>
  <dc:language>ru-RU</dc:language>
  <cp:keywords/>
  <dcterms:created xsi:type="dcterms:W3CDTF">2022-03-15T15:44:18Z</dcterms:created>
  <dcterms:modified xsi:type="dcterms:W3CDTF">2022-03-15T15:44:18Z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