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0073</w:t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Введение</w:t>
      </w:r>
      <w:r>
        <w:br/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
1.1. Цель документа</w:t>
      </w:r>
      <w:r>
        <w:br/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
Формализовать требования к доработке веб-интерфейса EPG для управления клиентскими сертификатами, включая их подписание, хранение, контроль срока действия и уведомления.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1.2. Контекст и проблема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В текущем процессе выпуска сертификатов для партнёров (мерчантов) используется ручное взаимодействие с OpenSSL, что требует специальных знаний и усложняет регистрацию новых партнёров.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Требуется упростить и частично автоматизировать процесс выпуска, подписания и контроля сертификатов через веб-интерфейс EPG.</w:t>
      </w:r>
    </w:p>
    <w:p>
      <w:pPr>
        <w:pStyle w:val="ListParagraph"/>
        <w:numPr>
          <w:ilvl w:val="0"/>
          <w:numId w:val="3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Бизнес-требования</w:t>
      </w:r>
      <w:r>
        <w:br/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
2.1. Цели</w:t>
      </w:r>
      <w:r>
        <w:br/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
Создать единый интерфейс для управления сертификатами партнёров в рамках EPG.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Упростить процесс выпуска сертификатов для операторов.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Обеспечить контроль сроков действия сертификатов и уведомления об истечении.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Исключить необходимость использования сторонних инструментов (например, OpenSSL вручную).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2.2. Ожидаемые результаты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Оператор может выпустить сертификат для мерчанта в процессе его регистрации.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Администратор видит список всех сертификатов с информацией о сроке действия.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Автоматические уведомления отправляются ответственным лицам перед истечением срока действия сертификата.</w:t>
      </w:r>
    </w:p>
    <w:p>
      <w:pPr>
        <w:pStyle w:val="ListParagraph"/>
        <w:numPr>
          <w:ilvl w:val="0"/>
          <w:numId w:val="4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Функциональные требования</w:t>
      </w:r>
      <w:r>
        <w:br/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
3.1. Страница управления сертификатами</w:t>
      </w:r>
      <w:r>
        <w:br/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
Экран: Отдельный раздел в веб-интерфейсе EPG.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Элементы: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Таблица со списком сертификатов, содержащая колонки: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Логин пользователя API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Логин мерчанта (MID/TID)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Subject сертификата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Серийный номер сертификата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Дата истечения срока действия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Визуальное выделение строк: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Красный — срок истёк.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Жёлтый — осталось менее N дней (N настраивается).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Фильтры/поиск по: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Логину пользователя API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Логину мерчанта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Subject сертификата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3.2. Загрузка CA (центра удостоверения)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Функционал: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Возможность загрузки CA-сертификата и приватного ключа в JKS-хранилище EPG.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Настройка alias для CA в конфигурации EPG.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3.3. Подписание CSR (запрос на подпись сертификата)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Сценарий 1: Через отдельную форму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Кнопка "Подписать сертификат" → открывает модальное окно с полями: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Логин пользователя API (с поиском и автоподстановкой мерчанта).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Поле для загрузки файла CSR (.csr).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Кнопка "Подписать" → выполняет подписание с использованием загруженного CA.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После успешного подписания: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Запись добавляется в таблицу сертификатов.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Показывается ссылка/кнопка для скачивания CRT.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При ошибке подписания — отображение понятного сообщения об ошибке.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Сценарий 2: При создании пользователя API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Если у пользователя есть разрешение "Use Merchant API", отображается поле для загрузки CSR.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При загрузке CSR автоматически подписывается и добавляется в список сертификатов.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3.4. Скачивание сертификата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В таблице сертификатов — кнопка "Скачать CRT" для каждой записи.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На форме списка пользователей — если у пользователя есть действующие сертификаты, отображается кнопка "Скачать сертификат" (скачивается CRT с самым поздним сроком действия).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3.5. Удаление записей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Кнопка "Удалить" в таблице сертификатов для удаления устаревших или ошибочных записей.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3.6. Уведомления об истечении срока действия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Механизм: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Фоновое задание (расписание) проверяет срок действия сертификатов.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Отправляет email-уведомления, если: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Срок действия истекает через N дней (настраиваемо).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Срок уже истёк.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Адреса для уведомлений настраиваются: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Глобально (системная настройка) — для ответственных сотрудников банка.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На уровне сертификата (при подписании) — для ответственных лиц мерчанта.</w:t>
      </w:r>
    </w:p>
    <w:p>
      <w:pPr>
        <w:pStyle w:val="ListParagraph"/>
        <w:numPr>
          <w:ilvl w:val="0"/>
          <w:numId w:val="5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Нефункциональные требования</w:t>
      </w:r>
      <w:r>
        <w:br/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
4.1. Безопасность</w:t>
      </w:r>
      <w:r>
        <w:br/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
Приватный ключ CA хранится в JKS-хранилище с защитой.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Доступ к разделу управления сертификатами — только для пользователей с соответствующими правами.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4.2. Надёжность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Обработка ошибок подписания CSR с понятными сообщениями в интерфейсе.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Логирование всех операций с сертификатами.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4.3. Производительность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Таблица сертификатов должна поддерживать пагинацию/фильтрацию при большом количестве записей.</w:t>
      </w:r>
    </w:p>
    <w:p>
      <w:pPr>
        <w:pStyle w:val="ListParagraph"/>
        <w:numPr>
          <w:ilvl w:val="0"/>
          <w:numId w:val="6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Ограничения и допущения</w:t>
      </w:r>
      <w:r>
        <w:br/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
5.1. Ограничения</w:t>
      </w:r>
      <w:r>
        <w:br/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
EPG не проверяет клиентские сертификаты при вызовах API — это задача nginx.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Ключи партнёров не хранятся в EPG (только сертификаты).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5.2. Допущения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CA-сертификат и ключ предоставляются заказчиком.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Формат CSR — стандартный PEM/DER, совместимый с OpenSSL.</w:t>
      </w:r>
    </w:p>
    <w:p>
      <w:pPr>
        <w:pStyle w:val="ListParagraph"/>
        <w:numPr>
          <w:ilvl w:val="0"/>
          <w:numId w:val="7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Сценарии использования</w:t>
      </w:r>
      <w:r>
        <w:br/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
6.1. Выпуск сертификата для нового партнёра</w:t>
      </w:r>
      <w:r>
        <w:br/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
Оператор создаёт пользователя API с разрешением "Use Merchant API".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Загружает CSR от партнёра.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Система автоматически подписывает CSR с использованием CA.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Сертификат добавляется в список, становится доступным для скачивания.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Партнёру отправляется CRT.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6.2. Контроль сроков действия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Ежедневно система проверяет сроки действия сертификатов.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Если до истечения срока осталось менее 30 дней (значение настраивается), отправляется уведомление на email из системных настроек и/или указанные при подписании.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В интерфейсе запись подсвечивается жёлтым/красным.</w:t>
      </w:r>
    </w:p>
    <w:p>
      <w:pPr>
        <w:pStyle w:val="ListParagraph"/>
        <w:numPr>
          <w:ilvl w:val="0"/>
          <w:numId w:val="8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Интерфейсы и интеграции</w:t>
      </w:r>
      <w:r>
        <w:br/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
7.1. Внутренние</w:t>
      </w:r>
      <w:r>
        <w:br/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
Модуль управления пользователями EPG.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Система настроек EPG.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JKS-хранилище для CA.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7.2. Внешние</w:t>
      </w:r>
      <w:r>
        <w:br/>
      </w: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
Отсутствуют (вся логика работает внутри EPG).</w:t>
      </w:r>
    </w:p>
    <w:p>
      <w:pPr>
        <w:pStyle w:val="ListParagraph"/>
        <w:numPr>
          <w:ilvl w:val="0"/>
          <w:numId w:val="9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Термины и определения</w:t>
      </w:r>
      <w:r>
        <w:br/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
CA — центр сертификации, удостоверяющий подлинность сертификатов.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CSR — запрос на подпись сертификата.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CRT — подписанный сертификат.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JKS — Java KeyStore, хранилище ключей и сертификатов.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Subject — поле в сертификате, идентифицирующее владельца.</w:t>
      </w:r>
    </w:p>
    <w:p>
      <w:pPr>
        <w:pStyle w:val="ListParagraph"/>
        <w:numPr>
          <w:ilvl w:val="0"/>
          <w:numId w:val="10"/>
        </w:numPr>
        <w:spacing w:after="100"/>
        <w:ind w:left="0"/>
      </w:pP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Приложения</w:t>
      </w:r>
      <w:r>
        <w:br/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
Приложение A: Макеты интерфейса (отдельный файл).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dadada"/>
          <w:sz w:val="23"/>
          <w:szCs w:val="23"/>
          <w:rFonts w:ascii="Times New Roman" w:cs="Times New Roman" w:eastAsia="Times New Roman" w:hAnsi="Times New Roman"/>
        </w:rPr>
        <w:t xml:space="preserve">Приложение B: Примеры CSR/CRT (по запросу).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2026-02-02T06:20:16.089Z</dcterms:created>
  <dcterms:modified xsi:type="dcterms:W3CDTF">2026-02-02T06:20:16.089Z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