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center"/>
      </w:pPr>
      <w:r>
        <w:t xml:space="preserve">checkecom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adada"/>
          <w:sz w:val="23"/>
          <w:szCs w:val="23"/>
          <w:rFonts w:ascii="Times New Roman" w:cs="Times New Roman" w:eastAsia="Times New Roman" w:hAnsi="Times New Roman"/>
        </w:rPr>
        <w:t xml:space="preserve">Вот таблица для </w:t>
      </w:r>
      <w:r>
        <w:rPr>
          <w:color w:val="dadada"/>
          <w:sz w:val="23"/>
          <w:szCs w:val="23"/>
          <w:rStyle w:val="SourceCode"/>
          <w:rFonts w:ascii="Courier New" w:cs="Courier New" w:eastAsia="Courier New" w:hAnsi="Courier New"/>
          <w:shd w:fill="d3d3d3" w:color="auto" w:val="clear"/>
        </w:rPr>
        <w:t xml:space="preserve">CheckEcomObject</w:t>
      </w:r>
      <w:r>
        <w:rPr>
          <w:b w:val="false"/>
          <w:bCs w:val="false"/>
          <w:i w:val="false"/>
          <w:iCs w:val="false"/>
          <w:color w:val="dadada"/>
          <w:sz w:val="23"/>
          <w:szCs w:val="23"/>
          <w:rFonts w:ascii="Times New Roman" w:cs="Times New Roman" w:eastAsia="Times New Roman" w:hAnsi="Times New Roman"/>
        </w:rPr>
        <w:t xml:space="preserve"> на основе предоставленной спецификации OpenAPI:</w:t>
      </w:r>
    </w:p>
    <w:p/>
    <w:p>
      <w:pPr>
        <w:spacing w:after="150"/>
      </w:pPr>
      <w:r>
        <w:rPr>
          <w:b/>
          <w:bCs/>
          <w:i w:val="false"/>
          <w:iCs w:val="false"/>
          <w:color w:val="dadada"/>
          <w:sz w:val="33"/>
          <w:szCs w:val="33"/>
          <w:rFonts w:ascii="Times New Roman" w:cs="Times New Roman" w:eastAsia="Times New Roman" w:hAnsi="Times New Roman"/>
        </w:rPr>
        <w:t xml:space="preserve">CheckEcomObject — Проверка ecom-операции</w:t>
      </w:r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00"/>
          <w:bottom w:type="dxa" w:w="10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Параметр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Тип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Обязательность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12)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Да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Уникальный идентификатор транзакции в системе-источнике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originator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30)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Да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Система - источник/генератор сообщения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msgType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(enum: 'checkecom')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Да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Тип сообщения - check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transType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4, example: '777')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Да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Тип транзакции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date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19, example: '2019.12.11 10:31:14')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Да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Дата, время совершения транзакции в формате yyyy.MM.dd HH:mm:ss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issInstId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4)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Да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Номер института-эмитента в ПЦ КС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acqInstId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4)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Да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Номер института-эквайера в ПЦ КС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merchantOperId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40)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Да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Идентификатор операции в системе мерчанта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rrn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12)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Да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Retrieval Reference Number (DE37)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amountTxn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12, pattern: '</w:t>
            </w:r>
            <w:r>
              <w:rPr>
                <w:color w:val="dadada"/>
                <w:sz w:val="19"/>
                <w:szCs w:val="19"/>
                <w:rFonts w:ascii="Times New Roman" w:cs="Times New Roman" w:eastAsia="Times New Roman" w:hAnsi="Times New Roman"/>
              </w:rPr>
              <w:t xml:space="preserve">[1]</w:t>
            </w: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{1,12}$', example: '45100')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Да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Сумма транзакции в валюте транзакции (DE04)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currencyTxn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3, pattern: '</w:t>
            </w:r>
            <w:r>
              <w:rPr>
                <w:color w:val="dadada"/>
                <w:sz w:val="19"/>
                <w:szCs w:val="19"/>
                <w:rFonts w:ascii="Times New Roman" w:cs="Times New Roman" w:eastAsia="Times New Roman" w:hAnsi="Times New Roman"/>
              </w:rPr>
              <w:t xml:space="preserve">[2]</w:t>
            </w: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{1,3}$', example: '840')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Да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ISO код валюты транзакции (DE49)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mcc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4, example: '6538')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Да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Merchant category code (DE18)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merchantId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15)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Да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Идентификатор мерчанта (DE42)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merchantName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40, example: 'PRIMSOTSATM020438')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Да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Имя мерчанта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merchantCity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31, example: 'VOLGOGRAD')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Да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Город, URL, e-mail или номер телефона мерчанта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merchantCountry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2, example: 'RU')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Да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Страна мерчанта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terminalType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2, pattern: '</w:t>
            </w:r>
            <w:r>
              <w:rPr>
                <w:color w:val="dadada"/>
                <w:sz w:val="19"/>
                <w:szCs w:val="19"/>
                <w:rFonts w:ascii="Times New Roman" w:cs="Times New Roman" w:eastAsia="Times New Roman" w:hAnsi="Times New Roman"/>
              </w:rPr>
              <w:t xml:space="preserve">[3]</w:t>
            </w: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{1,2}$', example: '8')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Да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Тип терминала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terminalId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16)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Да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Идентификатор терминала (DE41)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posEntryMode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4, pattern: '</w:t>
            </w:r>
            <w:r>
              <w:rPr>
                <w:color w:val="dadada"/>
                <w:sz w:val="19"/>
                <w:szCs w:val="19"/>
                <w:rFonts w:ascii="Times New Roman" w:cs="Times New Roman" w:eastAsia="Times New Roman" w:hAnsi="Times New Roman"/>
              </w:rPr>
              <w:t xml:space="preserve">[4]</w:t>
            </w: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{1,4}$')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Да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Point of Service Entry Mode (DE22)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posDataCode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12)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Да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Условия обслуживания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cardDataInputCap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1)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Да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Card data input capability (см. справочник)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cardholderAuthCap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1)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Да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Cardholder authentication capability (см. справочник)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cardCaptureCap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1)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Да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Card capture capability (см. справочник)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operEnvironment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1)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Да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Operating environment (см. справочник)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cardholderPresent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1)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Да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POS cardholder presence indicator (см. справочник)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cardPresent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1)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Да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Card presents (см. справочник)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cardDataInputMode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1)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Да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Card data input mode (см. справочник)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cardholderAuthMethod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1)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Да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Cardholder authentication method (см. справочник)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cardholderAuthEntity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1)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Да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Cardholder authentication entity (см. справочник)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paymentPurpose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50)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Назначение платежа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customerId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40)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Идентификатор клиента у мерчанта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pan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19, example: '5331572000044252')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PAN карты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acpt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37, pattern: '</w:t>
            </w:r>
            <w:r>
              <w:rPr>
                <w:color w:val="dadada"/>
                <w:sz w:val="19"/>
                <w:szCs w:val="19"/>
                <w:rFonts w:ascii="Times New Roman" w:cs="Times New Roman" w:eastAsia="Times New Roman" w:hAnsi="Times New Roman"/>
              </w:rPr>
              <w:t xml:space="preserve">[5]</w:t>
            </w: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{1,32}=[0-9]{4}$', example: '17000000000038008227=21643')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Лимит авторизации в ПЦ КС и последние 4 цифры номера карты, разделенные знаком равно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ean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13, example: '2130003426112')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EAN карты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panToken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40, pattern: '</w:t>
            </w:r>
            <w:r>
              <w:rPr>
                <w:color w:val="dadada"/>
                <w:sz w:val="19"/>
                <w:szCs w:val="19"/>
                <w:rFonts w:ascii="Times New Roman" w:cs="Times New Roman" w:eastAsia="Times New Roman" w:hAnsi="Times New Roman"/>
              </w:rPr>
              <w:t xml:space="preserve">[6]</w:t>
            </w: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{1,40}$', example: 'd418caea266bef3bfe8bc5a1b88e704b0fa7344e')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Токен для PAN карты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refPan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(minLength: 1, maxLength: 64)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Ссылка на номер карты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expDate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4, pattern: '</w:t>
            </w:r>
            <w:r>
              <w:rPr>
                <w:color w:val="dadada"/>
                <w:sz w:val="19"/>
                <w:szCs w:val="19"/>
                <w:rFonts w:ascii="Times New Roman" w:cs="Times New Roman" w:eastAsia="Times New Roman" w:hAnsi="Times New Roman"/>
              </w:rPr>
              <w:t xml:space="preserve">[7]</w:t>
            </w: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{4}$')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Срок действия карты в формате YYMM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cardBrand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3)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Карточный бренд платежной системы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cardProduct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3)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Карточный продукт платежной системы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cardIssuerCountry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2)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Страна банка эмитента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cardholderName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30)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Имя владельца карты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ipAddress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45)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IP-адрес клиента (IPv4 или IPv6)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rPan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19, example: '5331572000044252')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PAN карты получателя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rAcpt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37, pattern: '</w:t>
            </w:r>
            <w:r>
              <w:rPr>
                <w:color w:val="dadada"/>
                <w:sz w:val="19"/>
                <w:szCs w:val="19"/>
                <w:rFonts w:ascii="Times New Roman" w:cs="Times New Roman" w:eastAsia="Times New Roman" w:hAnsi="Times New Roman"/>
              </w:rPr>
              <w:t xml:space="preserve">[8]</w:t>
            </w: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{1,32}=[0-9]{4}$', example: '17000000000038008227=21643')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Лимит авторизации в ПЦ КС и последние 4 цифры номера карты получателя, разделенные знаком равно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rEan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13, example: '2130003426112')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EAN карты получателя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rPanToken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40, pattern: '</w:t>
            </w:r>
            <w:r>
              <w:rPr>
                <w:color w:val="dadada"/>
                <w:sz w:val="19"/>
                <w:szCs w:val="19"/>
                <w:rFonts w:ascii="Times New Roman" w:cs="Times New Roman" w:eastAsia="Times New Roman" w:hAnsi="Times New Roman"/>
              </w:rPr>
              <w:t xml:space="preserve">[9]</w:t>
            </w: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{1,40}$', example: 'd418caea266bef3bfe8bc5a1b88e704b0fa7344e')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Токен для PAN карты получателя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rRefPan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(minLength: 1, maxLength: 64)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Ссылка на номер карты получателя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rExpDate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4, pattern: '</w:t>
            </w:r>
            <w:r>
              <w:rPr>
                <w:color w:val="dadada"/>
                <w:sz w:val="19"/>
                <w:szCs w:val="19"/>
                <w:rFonts w:ascii="Times New Roman" w:cs="Times New Roman" w:eastAsia="Times New Roman" w:hAnsi="Times New Roman"/>
              </w:rPr>
              <w:t xml:space="preserve">[10]</w:t>
            </w: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{4}$')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Срок действия карты получателя в формате YYMM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rCardBrand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3)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Карточный бренд карты получателя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rCardProduct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3)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Карточный продукт карты получателя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rCardIssuerCountry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2)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Страна банка эмитента карты получателя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rCardholderName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30)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Имя владельца карты получателя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cvcExists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10)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Факт наличия CVV2, true/false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bdasPageHref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2048, example: '</w:t>
            </w:r>
            <w:hyperlink w:history="1" r:id="rIdiktmhcvunjrfmy__hzfgh">
              <w:r>
                <w:rPr>
                  <w:u w:val="single"/>
                  <w:color w:val="a68af9"/>
                  <w:rStyle w:val="Hyperlink"/>
                </w:rPr>
                <w:t xml:space="preserve">https://pay.cardstandard.ru/card2card/ks-bank/form/'</w:t>
              </w:r>
            </w:hyperlink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Полный адрес страницы, на которой был вызван bdas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bdasPageHostname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45, example: 'pay.cardstandard.ru')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Имя хоста, на котором был вызван bdas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bdasDisplayHeight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6, example: '650')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Свойство Screen.Height, возвращает высоту экрана посетителя в пикселях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bdasDisplayWidth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6, example: '480')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Свойство Screen.Width, возвращает ширину экрана посетителя в пикселях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bdasDisplayColorDepth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2, example: '24')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Свойство colorDepth, возвращает битовую глубину цветовой палитры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bdasDisplayAvailLeft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6, example: '0')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Возвращает первый доступный пиксель от левой стороны экрана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bdasDisplayAvailWidth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6, example: '320')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Ширина экрана пользователя служащая непосредственно для вывода информации (т.е. ширина без размера таких элементов браузера как панель задач, полоса прокрутки и т.д.)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bdasDisplayAvailTop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6, example: '0')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Количество пикселей рабочего стола, доступных для работы (например, без высоты меню Пуск на windows)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bdasDisplayAvailHeight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6, example: '570')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Высота экрана пользователя служащая непосредственно для вывода информации (т.е. высота без размера таких элементов браузера как панель задач, полоса прокрутки и т.д.)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bdasDeviceBrowser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1024, example: 'Netscape Mozilla')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Название браузера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bdasDevicePlatform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1024, example: 'Linux armv7l')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С помощью свойства platform можно узнать для какой платформы скомпилирован браузер пользователя (т.е. фактически позволяет узнать ОС, которую использует пользователь)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bdasLang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8, example: 'ru-RU')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Код языка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bdasUserAgent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2048, example: 'Mozilla/5.0 (Linux; Android 6.0; CRO-L22 Build/HUAWEICRO-L22; wv) AppleWebKit/537.36 (KHTML, like Gecko) Version/4.0 Chrome/77.0.3865.73 Mobile Safari/537.36')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С помощью свойства userAgent можно вернуть целиком заголовок user-agent, который браузер посылает серверу при запросе страницы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bdasJavaEnabled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10, example: 'true')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С помощью метода javaEnabled() можно узнать включена ли поддержка Java в браузере пользователя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bdasTimezone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5, example: '-540')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Смещение часового пояса в минутах для текущей локали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bdasCanvasFingerprint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100, example: '7DD987F846400079F4B03C058365A4869047B4A0')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Хэш от невидимой картинки, отрисованной на форме (хэш зависит от видеокарты, настроек графики устройства и т.д.)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bdasBotPhantomParamsCall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10, example: 'false')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Один из параметров для выявления эмулятора js - phantomjs (true = выявлено)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bdasBotPhantomParamsPh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10, example: 'true')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Один из параметров для выявления эмулятора js - phantomjs (true = выявлено)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bdasBotPhantomParamsPhantomas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10, example: 'false')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Один из параметров для выявления эмулятора js - phantomjs (true = выявлено)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bdasBotPhantomParamsProfile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10, example: 'false')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Один из параметров для выявления эмулятора js - phantomjs (true = выявлено)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bdasBotPhantomParamsUserAgent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10, example: 'false')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Один из параметров для выявления эмулятора js - phantomjs (true = выявлено)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bdasBotPhantomParamsPlugins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10, example: 'false')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Один из параметров для выявления эмулятора js - phantomjs (true = выявлено)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bdasBotUseSeleniumWebdriver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10, example: 'false')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Один из параметров для выявления эмулятора js - webdriver (true = выявлено)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bdasBotUseSeleniumUse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10, example: 'false')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Один из параметров для выявления эмулятора js - selenium (true = выявлено)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bdasBotRhino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10, example: 'false')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Один из параметров для выявления эмулятора js - rhino (true = выявлено)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bdasBotCouchjs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10, example: 'false')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Один из параметров для выявления эмулятора js - couchjs (true = выявлено)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bdasBotNodejs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10, example: 'true')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Один из параметров для выявления эмулятора js - nodejs (true = выявлено)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bdasBotPhantomParamsOuterSize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10, example: 'true')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Один из параметров для выявления эмулятора js - phantomjs (true = выявлено)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bdasClientIp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45, example: '127.0.0.1')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ip-адрес клиента (браузера)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bdasLocalIP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45, example: '127.0.0.1')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Локальный адрес хоста на сетевом интерфейсе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bdasToken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2048)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Идентификатор пользовательской сессии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addData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string (maxLength: 5336, example: 'MjAxMDIwUHVyY2hhc2VJZD0yODg4OTI4MjgyMDQwMTh7Im1pc2MiOiI8PDw_Pz4-In0')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adada"/>
                <w:sz w:val="23"/>
                <w:szCs w:val="23"/>
                <w:rFonts w:ascii="Times New Roman" w:cs="Times New Roman" w:eastAsia="Times New Roman" w:hAnsi="Times New Roman"/>
              </w:rPr>
              <w:t xml:space="preserve">Набор контейнеров в TLV-формате, представленный в Base64Url</w:t>
            </w:r>
          </w:p>
        </w:tc>
      </w:tr>
    </w:tbl>
    <w:p/>
    <w:p>
      <w:pPr>
        <w:spacing w:after="200"/>
      </w:pPr>
      <w:r>
        <w:rPr>
          <w:color w:val="dadada"/>
          <w:sz w:val="20"/>
          <w:szCs w:val="20"/>
          <w:rFonts w:ascii="Times New Roman" w:cs="Times New Roman" w:eastAsia="Times New Roman" w:hAnsi="Times New Roman"/>
        </w:rPr>
        <w:t xml:space="preserve">0-9↩︎
0-9↩︎
0-9↩︎
0-9↩︎
0-9↩︎
0-9,A-F,a-f↩︎
0-9↩︎
0-9↩︎
0-9,A-F,a-f↩︎
0-9↩︎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  <w:lvl w:ilvl="1" w15:tentative="1">
      <w:start w:val="1"/>
      <w:numFmt w:val="decimal"/>
      <w:lvlText w:val="%1.%2."/>
      <w:lvlJc w:val="start"/>
    </w:lvl>
    <w:lvl w:ilvl="2" w15:tentative="1">
      <w:start w:val="1"/>
      <w:numFmt w:val="decimal"/>
      <w:lvlText w:val="%1.%2.%3."/>
      <w:lvlJc w:val="start"/>
    </w:lvl>
    <w:lvl w:ilvl="3" w15:tentative="1">
      <w:start w:val="1"/>
      <w:numFmt w:val="decimal"/>
      <w:lvlText w:val="%1.%2.%3.%4."/>
      <w:lvlJc w:val="start"/>
    </w:lvl>
    <w:lvl w:ilvl="4" w15:tentative="1">
      <w:start w:val="1"/>
      <w:numFmt w:val="decimal"/>
      <w:lvlText w:val="%1.%2.%3.%4.%5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iktmhcvunjrfmy__hzfgh" Type="http://schemas.openxmlformats.org/officeDocument/2006/relationships/hyperlink" Target="https://pay.cardstandard.ru/card2card/ks-bank/form/&apos;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2025-12-25T11:17:25.818Z</dcterms:created>
  <dcterms:modified xsi:type="dcterms:W3CDTF">2025-12-25T11:17:25.819Z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