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0091</w:t>
      </w:r>
    </w:p>
    <w:p>
      <w:pPr>
        <w:spacing w:after="150"/>
      </w:pPr>
      <w:r>
        <w:rPr>
          <w:b/>
          <w:bCs/>
          <w:color w:val="dadada"/>
          <w:sz w:val="33"/>
          <w:szCs w:val="33"/>
          <w:rFonts w:ascii="Times New Roman" w:cs="Times New Roman" w:eastAsia="Times New Roman" w:hAnsi="Times New Roman"/>
        </w:rPr>
        <w:t xml:space="preserve">1. Контекст и постановка проблемы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Заказчик испытывает недостаток информации для мониторинга и анализа работы компонентов, ответственных за 3D Secure аутентификацию. В существующих системах (EPG и 3DSS) присутствуют в основном технические метрики (Actuator/JMX), но отсутствуют </w:t>
      </w:r>
      <w:r>
        <w:rPr>
          <w:b/>
          <w:bCs/>
          <w:color w:val="dadada"/>
          <w:sz w:val="23"/>
          <w:szCs w:val="23"/>
          <w:rFonts w:ascii="Times New Roman" w:cs="Times New Roman" w:eastAsia="Times New Roman" w:hAnsi="Times New Roman"/>
        </w:rPr>
        <w:t xml:space="preserve">бизнес-метрики</w:t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, отражающие ключевые показатели процесса аутентификации: количество и статусы сообщений по протоколам 3DS 1.0.2 и 3DS 2.0.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Отсутствие таких данных затрудняет оперативный контроль качества обслуживания, анализ причин отказов и планирование нагрузок. Изначальный запрос включал вопросы по настройке мониторинга, но в ходе обсуждения был сформирован и согласован конкретный перечень необходимых бизнес-метрик, разделенных по системам.</w:t>
      </w:r>
    </w:p>
    <w:p/>
    <w:p>
      <w:pPr>
        <w:spacing w:after="150"/>
      </w:pPr>
      <w:r>
        <w:rPr>
          <w:b/>
          <w:bCs/>
          <w:color w:val="dadada"/>
          <w:sz w:val="33"/>
          <w:szCs w:val="33"/>
          <w:rFonts w:ascii="Times New Roman" w:cs="Times New Roman" w:eastAsia="Times New Roman" w:hAnsi="Times New Roman"/>
        </w:rPr>
        <w:t xml:space="preserve">2. Цели проекта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Основная цель — </w:t>
      </w:r>
      <w:r>
        <w:rPr>
          <w:b/>
          <w:bCs/>
          <w:color w:val="dadada"/>
          <w:sz w:val="23"/>
          <w:szCs w:val="23"/>
          <w:rFonts w:ascii="Times New Roman" w:cs="Times New Roman" w:eastAsia="Times New Roman" w:hAnsi="Times New Roman"/>
        </w:rPr>
        <w:t xml:space="preserve">обеспечить прозрачность и контролируемость процессов 3D Secure</w:t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 за счет внедрения набора ключевых бизнес-метрик в системах EPG и 3DS Server.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Конкретные цели:</w:t>
      </w:r>
    </w:p>
    <w:p>
      <w:pPr>
        <w:pStyle w:val="ListParagraph"/>
        <w:numPr>
          <w:ilvl w:val="0"/>
          <w:numId w:val="2"/>
        </w:numPr>
        <w:spacing w:after="100"/>
        <w:ind w:left="0"/>
      </w:pPr>
      <w:r>
        <w:rPr>
          <w:b/>
          <w:bCs/>
          <w:rFonts w:ascii="Times New Roman" w:cs="Times New Roman" w:eastAsia="Times New Roman" w:hAnsi="Times New Roman"/>
        </w:rPr>
        <w:t xml:space="preserve">Для 3DS 2.0: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 Реализовать сбор метрик в компоненте </w:t>
      </w:r>
      <w:r>
        <w:rPr>
          <w:b/>
          <w:bCs/>
          <w:rFonts w:ascii="Times New Roman" w:cs="Times New Roman" w:eastAsia="Times New Roman" w:hAnsi="Times New Roman"/>
        </w:rPr>
        <w:t xml:space="preserve">3DS Server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, так как он является центральным узлом обработки для этого протокола.</w:t>
      </w:r>
    </w:p>
    <w:p>
      <w:pPr>
        <w:pStyle w:val="ListParagraph"/>
        <w:numPr>
          <w:ilvl w:val="0"/>
          <w:numId w:val="2"/>
        </w:numPr>
        <w:spacing w:after="100"/>
        <w:ind w:left="0"/>
      </w:pPr>
      <w:r>
        <w:rPr>
          <w:b/>
          <w:bCs/>
          <w:rFonts w:ascii="Times New Roman" w:cs="Times New Roman" w:eastAsia="Times New Roman" w:hAnsi="Times New Roman"/>
        </w:rPr>
        <w:t xml:space="preserve">Для 3DS 1.0.2: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 Реализовать сбор метрик в компоненте </w:t>
      </w:r>
      <w:r>
        <w:rPr>
          <w:b/>
          <w:bCs/>
          <w:rFonts w:ascii="Times New Roman" w:cs="Times New Roman" w:eastAsia="Times New Roman" w:hAnsi="Times New Roman"/>
        </w:rPr>
        <w:t xml:space="preserve">EPG (MPI)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, так как он обрабатывает этот протокол.</w:t>
      </w:r>
    </w:p>
    <w:p>
      <w:pPr>
        <w:pStyle w:val="ListParagraph"/>
        <w:numPr>
          <w:ilvl w:val="0"/>
          <w:numId w:val="2"/>
        </w:numPr>
        <w:spacing w:after="100"/>
        <w:ind w:left="0"/>
      </w:pPr>
      <w:r>
        <w:rPr>
          <w:b/>
          <w:bCs/>
          <w:rFonts w:ascii="Times New Roman" w:cs="Times New Roman" w:eastAsia="Times New Roman" w:hAnsi="Times New Roman"/>
        </w:rPr>
        <w:t xml:space="preserve">Исключить дублирование: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 Не создавать одинаковые метрики в обеих системах, а чётко разделить ответственность в соответствии с архитектурой.</w:t>
      </w:r>
    </w:p>
    <w:p>
      <w:pPr>
        <w:pStyle w:val="ListParagraph"/>
        <w:numPr>
          <w:ilvl w:val="0"/>
          <w:numId w:val="2"/>
        </w:numPr>
        <w:spacing w:after="100"/>
        <w:ind w:left="0"/>
      </w:pPr>
      <w:r>
        <w:rPr>
          <w:b/>
          <w:bCs/>
          <w:rFonts w:ascii="Times New Roman" w:cs="Times New Roman" w:eastAsia="Times New Roman" w:hAnsi="Times New Roman"/>
        </w:rPr>
        <w:t xml:space="preserve">Обеспечить техническую возможность сбора: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 Подтвердить и обеспечить работу сбора метрик через агента Prometheus/JMX по аналогии с системой ACS.</w:t>
      </w:r>
    </w:p>
    <w:p/>
    <w:p>
      <w:pPr>
        <w:spacing w:after="150"/>
      </w:pPr>
      <w:r>
        <w:rPr>
          <w:b/>
          <w:bCs/>
          <w:color w:val="dadada"/>
          <w:sz w:val="33"/>
          <w:szCs w:val="33"/>
          <w:rFonts w:ascii="Times New Roman" w:cs="Times New Roman" w:eastAsia="Times New Roman" w:hAnsi="Times New Roman"/>
        </w:rPr>
        <w:t xml:space="preserve">3. Требования к метрикам для 3DS Server (3DS 2.0)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Требуется реализовать в 3DS Server сбор следующих бизнес-метрик по протоколу 3DS 2.0. Метрики должны быть доступны для сбора через Prometheus.</w:t>
      </w:r>
    </w:p>
    <w:p/>
    <w:p>
      <w:pPr>
        <w:spacing w:after="150"/>
      </w:pPr>
      <w:r>
        <w:rPr>
          <w:b/>
          <w:bCs/>
          <w:color w:val="dadada"/>
          <w:sz w:val="30"/>
          <w:szCs w:val="30"/>
          <w:rFonts w:ascii="Times New Roman" w:cs="Times New Roman" w:eastAsia="Times New Roman" w:hAnsi="Times New Roman"/>
        </w:rPr>
        <w:t xml:space="preserve">3.1. Метрики по потоку аутентификации (AReq/ARes):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/>
          <w:bCs/>
          <w:rFonts w:ascii="Times New Roman" w:cs="Times New Roman" w:eastAsia="Times New Roman" w:hAnsi="Times New Roman"/>
        </w:rPr>
        <w:t xml:space="preserve">AReq (App Request):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 Количество отправленных AReq-сообщений в Directory Server (DS) с разбивкой по HTTP-статусу ответа (уже частично существует как </w:t>
      </w:r>
      <w:r>
        <w:rPr>
          <w:rStyle w:val="SourceCode"/>
          <w:rFonts w:ascii="Courier New" w:cs="Courier New" w:eastAsia="Courier New" w:hAnsi="Courier New"/>
          <w:shd w:fill="D3D3D3" w:color="auto" w:val="clear"/>
        </w:rPr>
        <w:t xml:space="preserve">dsRequestsCounter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).</w:t>
      </w:r>
      <w:r>
        <w:br/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/>
          <w:bCs/>
          <w:rFonts w:ascii="Times New Roman" w:cs="Times New Roman" w:eastAsia="Times New Roman" w:hAnsi="Times New Roman"/>
        </w:rPr>
        <w:t xml:space="preserve">ARes (App Response):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 Количество полученных ARes-сообщений от DS с разбивкой по значениям полей </w:t>
      </w:r>
      <w:r>
        <w:rPr>
          <w:rStyle w:val="SourceCode"/>
          <w:rFonts w:ascii="Courier New" w:cs="Courier New" w:eastAsia="Courier New" w:hAnsi="Courier New"/>
          <w:shd w:fill="D3D3D3" w:color="auto" w:val="clear"/>
        </w:rPr>
        <w:t xml:space="preserve">transStatus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 и </w:t>
      </w:r>
      <w:r>
        <w:rPr>
          <w:rStyle w:val="SourceCode"/>
          <w:rFonts w:ascii="Courier New" w:cs="Courier New" w:eastAsia="Courier New" w:hAnsi="Courier New"/>
          <w:shd w:fill="D3D3D3" w:color="auto" w:val="clear"/>
        </w:rPr>
        <w:t xml:space="preserve">transStatusReason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 (при наличии).</w:t>
      </w:r>
      <w:r>
        <w:br/>
      </w:r>
    </w:p>
    <w:p/>
    <w:p>
      <w:pPr>
        <w:spacing w:after="150"/>
      </w:pPr>
      <w:r>
        <w:rPr>
          <w:b/>
          <w:bCs/>
          <w:color w:val="dadada"/>
          <w:sz w:val="30"/>
          <w:szCs w:val="30"/>
          <w:rFonts w:ascii="Times New Roman" w:cs="Times New Roman" w:eastAsia="Times New Roman" w:hAnsi="Times New Roman"/>
        </w:rPr>
        <w:t xml:space="preserve">3.2. Метрики по потоку Challenge (CReq/CRes):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/>
          <w:bCs/>
          <w:rFonts w:ascii="Times New Roman" w:cs="Times New Roman" w:eastAsia="Times New Roman" w:hAnsi="Times New Roman"/>
        </w:rPr>
        <w:t xml:space="preserve">CReq (Challenge Request):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 Количество сформированных и отправленных (через браузер клиента) CReq-сообщений.</w:t>
      </w:r>
      <w:r>
        <w:br/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/>
          <w:bCs/>
          <w:rFonts w:ascii="Times New Roman" w:cs="Times New Roman" w:eastAsia="Times New Roman" w:hAnsi="Times New Roman"/>
        </w:rPr>
        <w:t xml:space="preserve">CRes (Challenge Response):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 Количество полученных CRes-сообщений от ACS с разбивкой по значению поля </w:t>
      </w:r>
      <w:r>
        <w:rPr>
          <w:rStyle w:val="SourceCode"/>
          <w:rFonts w:ascii="Courier New" w:cs="Courier New" w:eastAsia="Courier New" w:hAnsi="Courier New"/>
          <w:shd w:fill="D3D3D3" w:color="auto" w:val="clear"/>
        </w:rPr>
        <w:t xml:space="preserve">transStatus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.</w:t>
      </w:r>
      <w:r>
        <w:br/>
      </w:r>
    </w:p>
    <w:p/>
    <w:p>
      <w:pPr>
        <w:spacing w:after="150"/>
      </w:pPr>
      <w:r>
        <w:rPr>
          <w:b/>
          <w:bCs/>
          <w:color w:val="dadada"/>
          <w:sz w:val="30"/>
          <w:szCs w:val="30"/>
          <w:rFonts w:ascii="Times New Roman" w:cs="Times New Roman" w:eastAsia="Times New Roman" w:hAnsi="Times New Roman"/>
        </w:rPr>
        <w:t xml:space="preserve">3.3. Метрики по потоку RReq/RRes: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/>
          <w:bCs/>
          <w:rFonts w:ascii="Times New Roman" w:cs="Times New Roman" w:eastAsia="Times New Roman" w:hAnsi="Times New Roman"/>
        </w:rPr>
        <w:t xml:space="preserve">RReq (Result Request):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 Количество полученных RReq-сообщений от DS с разбивкой по всем возможным значениям полей </w:t>
      </w:r>
      <w:r>
        <w:rPr>
          <w:rStyle w:val="SourceCode"/>
          <w:rFonts w:ascii="Courier New" w:cs="Courier New" w:eastAsia="Courier New" w:hAnsi="Courier New"/>
          <w:shd w:fill="D3D3D3" w:color="auto" w:val="clear"/>
        </w:rPr>
        <w:t xml:space="preserve">transStatus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 и </w:t>
      </w:r>
      <w:r>
        <w:rPr>
          <w:rStyle w:val="SourceCode"/>
          <w:rFonts w:ascii="Courier New" w:cs="Courier New" w:eastAsia="Courier New" w:hAnsi="Courier New"/>
          <w:shd w:fill="D3D3D3" w:color="auto" w:val="clear"/>
        </w:rPr>
        <w:t xml:space="preserve">transStatusReason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 в соответствии со спецификацией EMV.</w:t>
      </w:r>
      <w:r>
        <w:br/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/>
          <w:bCs/>
          <w:rFonts w:ascii="Times New Roman" w:cs="Times New Roman" w:eastAsia="Times New Roman" w:hAnsi="Times New Roman"/>
        </w:rPr>
        <w:t xml:space="preserve">RRes (Result Response):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 Количество отправленных RRes-сообщений (синхронных ответов на RReq) с разбивкой по значению поля </w:t>
      </w:r>
      <w:r>
        <w:rPr>
          <w:rStyle w:val="SourceCode"/>
          <w:rFonts w:ascii="Courier New" w:cs="Courier New" w:eastAsia="Courier New" w:hAnsi="Courier New"/>
          <w:shd w:fill="D3D3D3" w:color="auto" w:val="clear"/>
        </w:rPr>
        <w:t xml:space="preserve">resultStatus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 из самого сообщения RRes.</w:t>
      </w:r>
      <w:r>
        <w:br/>
      </w:r>
    </w:p>
    <w:p/>
    <w:p>
      <w:pPr>
        <w:spacing w:after="150"/>
      </w:pPr>
      <w:r>
        <w:rPr>
          <w:b/>
          <w:bCs/>
          <w:color w:val="dadada"/>
          <w:sz w:val="30"/>
          <w:szCs w:val="30"/>
          <w:rFonts w:ascii="Times New Roman" w:cs="Times New Roman" w:eastAsia="Times New Roman" w:hAnsi="Times New Roman"/>
        </w:rPr>
        <w:t xml:space="preserve">3.4. Метрика доступности инфраструктуры: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/>
          <w:bCs/>
          <w:rFonts w:ascii="Times New Roman" w:cs="Times New Roman" w:eastAsia="Times New Roman" w:hAnsi="Times New Roman"/>
        </w:rPr>
        <w:t xml:space="preserve">Переключение на Fallback DS: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 Метрика, фиксирующая факты переключения запросов на резервный Directory Server (</w:t>
      </w:r>
      <w:r>
        <w:rPr>
          <w:rStyle w:val="SourceCode"/>
          <w:rFonts w:ascii="Courier New" w:cs="Courier New" w:eastAsia="Courier New" w:hAnsi="Courier New"/>
          <w:shd w:fill="D3D3D3" w:color="auto" w:val="clear"/>
        </w:rPr>
        <w:t xml:space="preserve">ds2.mirconnect.ru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) при недоступности основного (</w:t>
      </w:r>
      <w:r>
        <w:rPr>
          <w:rStyle w:val="SourceCode"/>
          <w:rFonts w:ascii="Courier New" w:cs="Courier New" w:eastAsia="Courier New" w:hAnsi="Courier New"/>
          <w:shd w:fill="D3D3D3" w:color="auto" w:val="clear"/>
        </w:rPr>
        <w:t xml:space="preserve">ds1.mirconnect.ru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). Должна учитывать срабатывания при таймаутах или получении кодов ошибок (например, 500).</w:t>
      </w:r>
      <w:r>
        <w:br/>
      </w:r>
    </w:p>
    <w:p/>
    <w:p>
      <w:pPr>
        <w:spacing w:after="150"/>
      </w:pPr>
      <w:r>
        <w:rPr>
          <w:b/>
          <w:bCs/>
          <w:color w:val="dadada"/>
          <w:sz w:val="33"/>
          <w:szCs w:val="33"/>
          <w:rFonts w:ascii="Times New Roman" w:cs="Times New Roman" w:eastAsia="Times New Roman" w:hAnsi="Times New Roman"/>
        </w:rPr>
        <w:t xml:space="preserve">4. Требования к метрикам для EPG (3DS 1.0.2)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Требуется реализовать в EPG (в компоненте MPI) сбор следующих бизнес-метрик по протоколу 3DS 1.0.2.</w:t>
      </w:r>
    </w:p>
    <w:p/>
    <w:p>
      <w:pPr>
        <w:spacing w:after="150"/>
      </w:pPr>
      <w:r>
        <w:rPr>
          <w:b/>
          <w:bCs/>
          <w:color w:val="dadada"/>
          <w:sz w:val="30"/>
          <w:szCs w:val="30"/>
          <w:rFonts w:ascii="Times New Roman" w:cs="Times New Roman" w:eastAsia="Times New Roman" w:hAnsi="Times New Roman"/>
        </w:rPr>
        <w:t xml:space="preserve">4.1. Метрики по потоку Verify Enrollment (VeReq/VeRes):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/>
          <w:bCs/>
          <w:rFonts w:ascii="Times New Roman" w:cs="Times New Roman" w:eastAsia="Times New Roman" w:hAnsi="Times New Roman"/>
        </w:rPr>
        <w:t xml:space="preserve">VeReq (Verify Enrollment Request):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 Количество отправленных VeReq-сообщений в DS.</w:t>
      </w:r>
      <w:r>
        <w:br/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/>
          <w:bCs/>
          <w:rFonts w:ascii="Times New Roman" w:cs="Times New Roman" w:eastAsia="Times New Roman" w:hAnsi="Times New Roman"/>
        </w:rPr>
        <w:t xml:space="preserve">VeRes (Verify Enrollment Response):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 Количество полученных VeRes-сообщений от DS с разбивкой по значению поля </w:t>
      </w:r>
      <w:r>
        <w:rPr>
          <w:rStyle w:val="SourceCode"/>
          <w:rFonts w:ascii="Courier New" w:cs="Courier New" w:eastAsia="Courier New" w:hAnsi="Courier New"/>
          <w:shd w:fill="D3D3D3" w:color="auto" w:val="clear"/>
        </w:rPr>
        <w:t xml:space="preserve">status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.</w:t>
      </w:r>
      <w:r>
        <w:br/>
      </w:r>
    </w:p>
    <w:p/>
    <w:p>
      <w:pPr>
        <w:spacing w:after="150"/>
      </w:pPr>
      <w:r>
        <w:rPr>
          <w:b/>
          <w:bCs/>
          <w:color w:val="dadada"/>
          <w:sz w:val="30"/>
          <w:szCs w:val="30"/>
          <w:rFonts w:ascii="Times New Roman" w:cs="Times New Roman" w:eastAsia="Times New Roman" w:hAnsi="Times New Roman"/>
        </w:rPr>
        <w:t xml:space="preserve">4.2. Метрики по потоку Payer Authentication (PaReq/PaRes):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/>
          <w:bCs/>
          <w:rFonts w:ascii="Times New Roman" w:cs="Times New Roman" w:eastAsia="Times New Roman" w:hAnsi="Times New Roman"/>
        </w:rPr>
        <w:t xml:space="preserve">PaReq (Payer Authentication Request):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 Количество сформированных и отправленных (через браузер клиента) PaReq-сообщений.</w:t>
      </w:r>
      <w:r>
        <w:br/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/>
          <w:bCs/>
          <w:rFonts w:ascii="Times New Roman" w:cs="Times New Roman" w:eastAsia="Times New Roman" w:hAnsi="Times New Roman"/>
        </w:rPr>
        <w:t xml:space="preserve">PaRes (Payer Authentication Response):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 Количество полученных PaRes-сообщений от ACS с разбивкой по всем возможным значениям поля </w:t>
      </w:r>
      <w:r>
        <w:rPr>
          <w:rStyle w:val="SourceCode"/>
          <w:rFonts w:ascii="Courier New" w:cs="Courier New" w:eastAsia="Courier New" w:hAnsi="Courier New"/>
          <w:shd w:fill="D3D3D3" w:color="auto" w:val="clear"/>
        </w:rPr>
        <w:t xml:space="preserve">transStatus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.</w:t>
      </w:r>
      <w:r>
        <w:br/>
      </w:r>
    </w:p>
    <w:p/>
    <w:p>
      <w:pPr>
        <w:spacing w:after="150"/>
      </w:pPr>
      <w:r>
        <w:rPr>
          <w:b/>
          <w:bCs/>
          <w:color w:val="dadada"/>
          <w:sz w:val="33"/>
          <w:szCs w:val="33"/>
          <w:rFonts w:ascii="Times New Roman" w:cs="Times New Roman" w:eastAsia="Times New Roman" w:hAnsi="Times New Roman"/>
        </w:rPr>
        <w:t xml:space="preserve">5. Нефункциональные требования и техническая реализация</w:t>
      </w:r>
    </w:p>
    <w:p>
      <w:pPr>
        <w:pStyle w:val="ListParagraph"/>
        <w:numPr>
          <w:ilvl w:val="0"/>
          <w:numId w:val="3"/>
        </w:numPr>
        <w:spacing w:after="100"/>
        <w:ind w:left="0"/>
      </w:pPr>
      <w:r>
        <w:rPr>
          <w:b/>
          <w:bCs/>
          <w:rFonts w:ascii="Times New Roman" w:cs="Times New Roman" w:eastAsia="Times New Roman" w:hAnsi="Times New Roman"/>
        </w:rPr>
        <w:t xml:space="preserve">Формат и сбор: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 Все новые метрики должны быть доступны в формате, пригодном для сбора </w:t>
      </w:r>
      <w:r>
        <w:rPr>
          <w:b/>
          <w:bCs/>
          <w:rFonts w:ascii="Times New Roman" w:cs="Times New Roman" w:eastAsia="Times New Roman" w:hAnsi="Times New Roman"/>
        </w:rPr>
        <w:t xml:space="preserve">агентом Prometheus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 (через JMX или HTTP endpoint), по аналогии с настройкой для ACS.</w:t>
      </w:r>
    </w:p>
    <w:p>
      <w:pPr>
        <w:pStyle w:val="ListParagraph"/>
        <w:numPr>
          <w:ilvl w:val="0"/>
          <w:numId w:val="3"/>
        </w:numPr>
        <w:spacing w:after="100"/>
        <w:ind w:left="0"/>
      </w:pPr>
      <w:r>
        <w:rPr>
          <w:b/>
          <w:bCs/>
          <w:rFonts w:ascii="Times New Roman" w:cs="Times New Roman" w:eastAsia="Times New Roman" w:hAnsi="Times New Roman"/>
        </w:rPr>
        <w:t xml:space="preserve">Именование и теги: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 Метрики должны иметь понятные имена и использовать labels (теги) для детальной разбивки (например, </w:t>
      </w:r>
      <w:r>
        <w:rPr>
          <w:rStyle w:val="SourceCode"/>
          <w:rFonts w:ascii="Courier New" w:cs="Courier New" w:eastAsia="Courier New" w:hAnsi="Courier New"/>
          <w:shd w:fill="D3D3D3" w:color="auto" w:val="clear"/>
        </w:rPr>
        <w:t xml:space="preserve">transStatus="Y"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, </w:t>
      </w:r>
      <w:r>
        <w:rPr>
          <w:rStyle w:val="SourceCode"/>
          <w:rFonts w:ascii="Courier New" w:cs="Courier New" w:eastAsia="Courier New" w:hAnsi="Courier New"/>
          <w:shd w:fill="D3D3D3" w:color="auto" w:val="clear"/>
        </w:rPr>
        <w:t xml:space="preserve">transStatusReason="01"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).</w:t>
      </w:r>
    </w:p>
    <w:p>
      <w:pPr>
        <w:pStyle w:val="ListParagraph"/>
        <w:numPr>
          <w:ilvl w:val="0"/>
          <w:numId w:val="3"/>
        </w:numPr>
        <w:spacing w:after="100"/>
        <w:ind w:left="0"/>
      </w:pPr>
      <w:r>
        <w:rPr>
          <w:b/>
          <w:bCs/>
          <w:rFonts w:ascii="Times New Roman" w:cs="Times New Roman" w:eastAsia="Times New Roman" w:hAnsi="Times New Roman"/>
        </w:rPr>
        <w:t xml:space="preserve">Производительность: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 Внедрение метрик не должно оказывать существенного негативного влияния на производительность и время отклика систем EPG и 3DSS.</w:t>
      </w:r>
    </w:p>
    <w:p>
      <w:pPr>
        <w:pStyle w:val="ListParagraph"/>
        <w:numPr>
          <w:ilvl w:val="0"/>
          <w:numId w:val="3"/>
        </w:numPr>
        <w:spacing w:after="100"/>
        <w:ind w:left="0"/>
      </w:pPr>
      <w:r>
        <w:rPr>
          <w:b/>
          <w:bCs/>
          <w:rFonts w:ascii="Times New Roman" w:cs="Times New Roman" w:eastAsia="Times New Roman" w:hAnsi="Times New Roman"/>
        </w:rPr>
        <w:t xml:space="preserve">Документация: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 По итогам реализации необходимо предоставить обновлённый перечень доступных метрик с описанием.</w:t>
      </w:r>
    </w:p>
    <w:p/>
    <w:p>
      <w:pPr>
        <w:spacing w:after="150"/>
      </w:pPr>
      <w:r>
        <w:rPr>
          <w:b/>
          <w:bCs/>
          <w:color w:val="dadada"/>
          <w:sz w:val="33"/>
          <w:szCs w:val="33"/>
          <w:rFonts w:ascii="Times New Roman" w:cs="Times New Roman" w:eastAsia="Times New Roman" w:hAnsi="Times New Roman"/>
        </w:rPr>
        <w:t xml:space="preserve">6. Ограничения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Для сообщений </w:t>
      </w:r>
      <w:r>
        <w:rPr>
          <w:b/>
          <w:bCs/>
          <w:rFonts w:ascii="Times New Roman" w:cs="Times New Roman" w:eastAsia="Times New Roman" w:hAnsi="Times New Roman"/>
        </w:rPr>
        <w:t xml:space="preserve">CReq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 (3DS 2.0) и </w:t>
      </w:r>
      <w:r>
        <w:rPr>
          <w:b/>
          <w:bCs/>
          <w:rFonts w:ascii="Times New Roman" w:cs="Times New Roman" w:eastAsia="Times New Roman" w:hAnsi="Times New Roman"/>
        </w:rPr>
        <w:t xml:space="preserve">PaReq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 (3DS 1.0.2), которые передаются через браузер конечного клиента, невозможно отследить факт их успешной доставки до ACS. Метрика должна считать факт формирования и отправки сообщения клиенту.</w:t>
      </w:r>
      <w:r>
        <w:br/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Метрика по переключению на Fallback DS применима только к </w:t>
      </w:r>
      <w:r>
        <w:rPr>
          <w:b/>
          <w:bCs/>
          <w:rFonts w:ascii="Times New Roman" w:cs="Times New Roman" w:eastAsia="Times New Roman" w:hAnsi="Times New Roman"/>
        </w:rPr>
        <w:t xml:space="preserve">3DS Server (3DS 2.0)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. Для потока 3DS 1.0.2 в EPG аналогичная функциональность, согласно обсуждению, не реализована и не требуется в рамках данной задачи.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decimal"/>
      <w:lvlText w:val="%1.%2."/>
      <w:lvlJc w:val="start"/>
    </w:lvl>
    <w:lvl w:ilvl="2" w15:tentative="1">
      <w:start w:val="1"/>
      <w:numFmt w:val="decimal"/>
      <w:lvlText w:val="%1.%2.%3."/>
      <w:lvlJc w:val="start"/>
    </w:lvl>
    <w:lvl w:ilvl="3" w15:tentative="1">
      <w:start w:val="1"/>
      <w:numFmt w:val="decimal"/>
      <w:lvlText w:val="%1.%2.%3.%4."/>
      <w:lvlJc w:val="start"/>
    </w:lvl>
    <w:lvl w:ilvl="4" w15:tentative="1">
      <w:start w:val="1"/>
      <w:numFmt w:val="decimal"/>
      <w:lvlText w:val="%1.%2.%3.%4.%5.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decimal"/>
      <w:lvlText w:val="%1.%2."/>
      <w:lvlJc w:val="start"/>
    </w:lvl>
    <w:lvl w:ilvl="2" w15:tentative="1">
      <w:start w:val="1"/>
      <w:numFmt w:val="decimal"/>
      <w:lvlText w:val="%1.%2.%3."/>
      <w:lvlJc w:val="start"/>
    </w:lvl>
    <w:lvl w:ilvl="3" w15:tentative="1">
      <w:start w:val="1"/>
      <w:numFmt w:val="decimal"/>
      <w:lvlText w:val="%1.%2.%3.%4."/>
      <w:lvlJc w:val="start"/>
    </w:lvl>
    <w:lvl w:ilvl="4" w15:tentative="1">
      <w:start w:val="1"/>
      <w:numFmt w:val="decimal"/>
      <w:lvlText w:val="%1.%2.%3.%4.%5."/>
      <w:lvlJc w:val="start"/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decimal"/>
      <w:lvlText w:val="%1.%2."/>
      <w:lvlJc w:val="start"/>
    </w:lvl>
    <w:lvl w:ilvl="2" w15:tentative="1">
      <w:start w:val="1"/>
      <w:numFmt w:val="decimal"/>
      <w:lvlText w:val="%1.%2.%3."/>
      <w:lvlJc w:val="start"/>
    </w:lvl>
    <w:lvl w:ilvl="3" w15:tentative="1">
      <w:start w:val="1"/>
      <w:numFmt w:val="decimal"/>
      <w:lvlText w:val="%1.%2.%3.%4."/>
      <w:lvlJc w:val="start"/>
    </w:lvl>
    <w:lvl w:ilvl="4" w15:tentative="1">
      <w:start w:val="1"/>
      <w:numFmt w:val="decimal"/>
      <w:lvlText w:val="%1.%2.%3.%4.%5."/>
      <w:lvlJc w:val="start"/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decimal"/>
      <w:lvlText w:val="%1.%2."/>
      <w:lvlJc w:val="start"/>
    </w:lvl>
    <w:lvl w:ilvl="2" w15:tentative="1">
      <w:start w:val="1"/>
      <w:numFmt w:val="decimal"/>
      <w:lvlText w:val="%1.%2.%3."/>
      <w:lvlJc w:val="start"/>
    </w:lvl>
    <w:lvl w:ilvl="3" w15:tentative="1">
      <w:start w:val="1"/>
      <w:numFmt w:val="decimal"/>
      <w:lvlText w:val="%1.%2.%3.%4."/>
      <w:lvlJc w:val="start"/>
    </w:lvl>
    <w:lvl w:ilvl="4" w15:tentative="1">
      <w:start w:val="1"/>
      <w:numFmt w:val="decimal"/>
      <w:lvlText w:val="%1.%2.%3.%4.%5."/>
      <w:lvlJc w:val="start"/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decimal"/>
      <w:lvlText w:val="%1.%2."/>
      <w:lvlJc w:val="start"/>
    </w:lvl>
    <w:lvl w:ilvl="2" w15:tentative="1">
      <w:start w:val="1"/>
      <w:numFmt w:val="decimal"/>
      <w:lvlText w:val="%1.%2.%3."/>
      <w:lvlJc w:val="start"/>
    </w:lvl>
    <w:lvl w:ilvl="3" w15:tentative="1">
      <w:start w:val="1"/>
      <w:numFmt w:val="decimal"/>
      <w:lvlText w:val="%1.%2.%3.%4."/>
      <w:lvlJc w:val="start"/>
    </w:lvl>
    <w:lvl w:ilvl="4" w15:tentative="1">
      <w:start w:val="1"/>
      <w:numFmt w:val="decimal"/>
      <w:lvlText w:val="%1.%2.%3.%4.%5."/>
      <w:lvlJc w:val="start"/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decimal"/>
      <w:lvlText w:val="%1.%2."/>
      <w:lvlJc w:val="start"/>
    </w:lvl>
    <w:lvl w:ilvl="2" w15:tentative="1">
      <w:start w:val="1"/>
      <w:numFmt w:val="decimal"/>
      <w:lvlText w:val="%1.%2.%3."/>
      <w:lvlJc w:val="start"/>
    </w:lvl>
    <w:lvl w:ilvl="3" w15:tentative="1">
      <w:start w:val="1"/>
      <w:numFmt w:val="decimal"/>
      <w:lvlText w:val="%1.%2.%3.%4."/>
      <w:lvlJc w:val="start"/>
    </w:lvl>
    <w:lvl w:ilvl="4" w15:tentative="1">
      <w:start w:val="1"/>
      <w:numFmt w:val="decimal"/>
      <w:lvlText w:val="%1.%2.%3.%4.%5."/>
      <w:lvlJc w:val="start"/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decimal"/>
      <w:lvlText w:val="%1.%2."/>
      <w:lvlJc w:val="start"/>
    </w:lvl>
    <w:lvl w:ilvl="2" w15:tentative="1">
      <w:start w:val="1"/>
      <w:numFmt w:val="decimal"/>
      <w:lvlText w:val="%1.%2.%3."/>
      <w:lvlJc w:val="start"/>
    </w:lvl>
    <w:lvl w:ilvl="3" w15:tentative="1">
      <w:start w:val="1"/>
      <w:numFmt w:val="decimal"/>
      <w:lvlText w:val="%1.%2.%3.%4."/>
      <w:lvlJc w:val="start"/>
    </w:lvl>
    <w:lvl w:ilvl="4" w15:tentative="1">
      <w:start w:val="1"/>
      <w:numFmt w:val="decimal"/>
      <w:lvlText w:val="%1.%2.%3.%4.%5."/>
      <w:lvlJc w:val="start"/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decimal"/>
      <w:lvlText w:val="%1.%2."/>
      <w:lvlJc w:val="start"/>
    </w:lvl>
    <w:lvl w:ilvl="2" w15:tentative="1">
      <w:start w:val="1"/>
      <w:numFmt w:val="decimal"/>
      <w:lvlText w:val="%1.%2.%3."/>
      <w:lvlJc w:val="start"/>
    </w:lvl>
    <w:lvl w:ilvl="3" w15:tentative="1">
      <w:start w:val="1"/>
      <w:numFmt w:val="decimal"/>
      <w:lvlText w:val="%1.%2.%3.%4."/>
      <w:lvlJc w:val="start"/>
    </w:lvl>
    <w:lvl w:ilvl="4" w15:tentative="1">
      <w:start w:val="1"/>
      <w:numFmt w:val="decimal"/>
      <w:lvlText w:val="%1.%2.%3.%4.%5."/>
      <w:lvlJc w:val="start"/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decimal"/>
      <w:lvlText w:val="%1.%2."/>
      <w:lvlJc w:val="start"/>
    </w:lvl>
    <w:lvl w:ilvl="2" w15:tentative="1">
      <w:start w:val="1"/>
      <w:numFmt w:val="decimal"/>
      <w:lvlText w:val="%1.%2.%3."/>
      <w:lvlJc w:val="start"/>
    </w:lvl>
    <w:lvl w:ilvl="3" w15:tentative="1">
      <w:start w:val="1"/>
      <w:numFmt w:val="decimal"/>
      <w:lvlText w:val="%1.%2.%3.%4."/>
      <w:lvlJc w:val="start"/>
    </w:lvl>
    <w:lvl w:ilvl="4" w15:tentative="1">
      <w:start w:val="1"/>
      <w:numFmt w:val="decimal"/>
      <w:lvlText w:val="%1.%2.%3.%4.%5."/>
      <w:lvlJc w:val="start"/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decimal"/>
      <w:lvlText w:val="%1.%2."/>
      <w:lvlJc w:val="start"/>
    </w:lvl>
    <w:lvl w:ilvl="2" w15:tentative="1">
      <w:start w:val="1"/>
      <w:numFmt w:val="decimal"/>
      <w:lvlText w:val="%1.%2.%3."/>
      <w:lvlJc w:val="start"/>
    </w:lvl>
    <w:lvl w:ilvl="3" w15:tentative="1">
      <w:start w:val="1"/>
      <w:numFmt w:val="decimal"/>
      <w:lvlText w:val="%1.%2.%3.%4."/>
      <w:lvlJc w:val="start"/>
    </w:lvl>
    <w:lvl w:ilvl="4" w15:tentative="1">
      <w:start w:val="1"/>
      <w:numFmt w:val="decimal"/>
      <w:lvlText w:val="%1.%2.%3.%4.%5."/>
      <w:lvlJc w:val="start"/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decimal"/>
      <w:lvlText w:val="%1.%2."/>
      <w:lvlJc w:val="start"/>
    </w:lvl>
    <w:lvl w:ilvl="2" w15:tentative="1">
      <w:start w:val="1"/>
      <w:numFmt w:val="decimal"/>
      <w:lvlText w:val="%1.%2.%3."/>
      <w:lvlJc w:val="start"/>
    </w:lvl>
    <w:lvl w:ilvl="3" w15:tentative="1">
      <w:start w:val="1"/>
      <w:numFmt w:val="decimal"/>
      <w:lvlText w:val="%1.%2.%3.%4."/>
      <w:lvlJc w:val="start"/>
    </w:lvl>
    <w:lvl w:ilvl="4" w15:tentative="1">
      <w:start w:val="1"/>
      <w:numFmt w:val="decimal"/>
      <w:lvlText w:val="%1.%2.%3.%4.%5."/>
      <w:lvlJc w:val="start"/>
    </w:lvl>
  </w:abstractNum>
  <w:num w:numId="1">
    <w:abstractNumId w:val="1"/>
    <w:lvlOverride w:ilvl="0">
      <w:startOverride w:val="1"/>
    </w:lvlOverride>
  </w:num>
  <w:num w:numId="2">
    <w:abstractNumId w:val="11"/>
    <w:lvlOverride w:ilvl="0">
      <w:startOverride w:val="1"/>
    </w:lvlOverride>
  </w:num>
  <w:num w:numId="3">
    <w:abstractNumId w:val="1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2026-02-02T13:43:21.502Z</dcterms:created>
  <dcterms:modified xsi:type="dcterms:W3CDTF">2026-02-02T13:43:21.502Z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