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РАЗРАБОТКА КОНЦЕПТУАЛЬНОЙ И СТРУКТУРНО-ФУНКЦИОНАЛЬНОЙ МОДЕЛЕЙ ТЕХНОЛОГИЧЕСКОГО ПРОЦЕССА ИЗГОТОВЛЕНИЯ УСТРОЙСТВА «СВЕТОФОР НА БАЗЕ МИКРОКОНТРОЛЛЕРА ATmega8-16PU»</w:t>
      </w:r>
    </w:p>
    <w:p>
      <w:pPr>
        <w:jc w:val="both"/>
      </w:pPr>
      <w:r>
        <w:t>В главе разрабатывается модель технологического процесса изготовления электронной ячейки учебного имитатора светофора. Структура изложения принята по образцу главы 1 ДЗ А. С. Филенко; состав изделия и особенности технологии определены по материалам курсового проекта К. Д. Калинина. Границы процесса: от поступления готовой печатной платы и компонентов до получения собранной, запрограммированной и проконтролированной ячейки. Изготовление самой печатной платы в данный маршрут не входит.</w:t>
      </w:r>
    </w:p>
    <w:p>
      <w:pPr>
        <w:pStyle w:val="Heading2"/>
      </w:pPr>
      <w:r>
        <w:t>1.1 Анализ сборочного состава электронной ячейки «Светофор на базе микроконтроллера ATmega8-16PU»</w:t>
      </w:r>
    </w:p>
    <w:p>
      <w:pPr>
        <w:jc w:val="both"/>
      </w:pPr>
      <w:r>
        <w:t>Устройство предназначено для учебной демонстрации управления светофором одного направления. Микроконтроллер DD1 управляет тремя светодиодами и обрабатывает сигнал кнопки SB1. Ячейка питается от внешнего источника постоянного напряжения через клеммник XS1. Изделие рассматривается как учебный макет, а не как контроллер действующего дорожного светофора.</w:t>
      </w:r>
    </w:p>
    <w:p>
      <w:pPr>
        <w:jc w:val="both"/>
      </w:pPr>
      <w:r>
        <w:t>Исходные требования по РПЗ: питание 5 В ±10 %, потребляемый ток не более 50 мА; красная, жёлтая и зелёная индикация; автоматический цикл и управление кнопкой. Номинальная последовательность: зелёный — 8 с, мигание зелёного — 2 с, жёлтый — 3 с, красный — 9 с, красный совместно с жёлтым — 3 с. Суммарное заданное время цикла составляет 25 с. Эти интервалы являются требованиями для контроля; их фактическое соблюдение должно проверяться измерением.</w:t>
      </w:r>
    </w:p>
    <w:p>
      <w:pPr>
        <w:keepNext/>
        <w:ind w:firstLine="0"/>
        <w:jc w:val="center"/>
      </w:pPr>
      <w:r>
        <w:drawing>
          <wp:inline xmlns:a="http://schemas.openxmlformats.org/drawingml/2006/main" xmlns:pic="http://schemas.openxmlformats.org/drawingml/2006/picture">
            <wp:extent cx="5760000" cy="4080000"/>
            <wp:docPr id="1" name="Picture 1"/>
            <wp:cNvGraphicFramePr>
              <a:graphicFrameLocks noChangeAspect="1"/>
            </wp:cNvGraphicFramePr>
            <a:graphic>
              <a:graphicData uri="http://schemas.openxmlformats.org/drawingml/2006/picture">
                <pic:pic>
                  <pic:nvPicPr>
                    <pic:cNvPr id="0" name="sb.png"/>
                    <pic:cNvPicPr/>
                  </pic:nvPicPr>
                  <pic:blipFill>
                    <a:blip r:embed="rId10"/>
                    <a:stretch>
                      <a:fillRect/>
                    </a:stretch>
                  </pic:blipFill>
                  <pic:spPr>
                    <a:xfrm>
                      <a:off x="0" y="0"/>
                      <a:ext cx="5760000" cy="4080000"/>
                    </a:xfrm>
                    <a:prstGeom prst="rect"/>
                  </pic:spPr>
                </pic:pic>
              </a:graphicData>
            </a:graphic>
          </wp:inline>
        </w:drawing>
      </w:r>
    </w:p>
    <w:p>
      <w:pPr>
        <w:ind w:firstLine="0"/>
        <w:jc w:val="center"/>
      </w:pPr>
      <w:r>
        <w:rPr>
          <w:sz w:val="24"/>
        </w:rPr>
        <w:t>Рисунок 1.1.1 — Сборочный чертёж электронной ячейки (по материалам курсового проекта)</w:t>
      </w:r>
    </w:p>
    <w:p>
      <w:pPr>
        <w:jc w:val="both"/>
      </w:pPr>
      <w:r>
        <w:t>Согласно сборочному чертежу габариты ячейки составляют 56×50×16,8 мм. Монтаж — выводной, с установкой компонентов в отверстия печатной платы. Отдельный корпус, крепёж для корпуса и батарея в спецификации не предусмотрены и в сборочную модель не включаются.</w:t>
      </w:r>
    </w:p>
    <w:p>
      <w:pPr>
        <w:keepNext/>
        <w:ind w:firstLine="0"/>
        <w:jc w:val="center"/>
      </w:pPr>
      <w:r>
        <w:drawing>
          <wp:inline xmlns:a="http://schemas.openxmlformats.org/drawingml/2006/main" xmlns:pic="http://schemas.openxmlformats.org/drawingml/2006/picture">
            <wp:extent cx="5760000" cy="558841"/>
            <wp:docPr id="2" name="Picture 2"/>
            <wp:cNvGraphicFramePr>
              <a:graphicFrameLocks noChangeAspect="1"/>
            </wp:cNvGraphicFramePr>
            <a:graphic>
              <a:graphicData uri="http://schemas.openxmlformats.org/drawingml/2006/picture">
                <pic:pic>
                  <pic:nvPicPr>
                    <pic:cNvPr id="0" name="functional.png"/>
                    <pic:cNvPicPr/>
                  </pic:nvPicPr>
                  <pic:blipFill>
                    <a:blip r:embed="rId11"/>
                    <a:stretch>
                      <a:fillRect/>
                    </a:stretch>
                  </pic:blipFill>
                  <pic:spPr>
                    <a:xfrm>
                      <a:off x="0" y="0"/>
                      <a:ext cx="5760000" cy="558841"/>
                    </a:xfrm>
                    <a:prstGeom prst="rect"/>
                  </pic:spPr>
                </pic:pic>
              </a:graphicData>
            </a:graphic>
          </wp:inline>
        </w:drawing>
      </w:r>
    </w:p>
    <w:p>
      <w:pPr>
        <w:ind w:firstLine="0"/>
        <w:jc w:val="center"/>
      </w:pPr>
      <w:r>
        <w:rPr>
          <w:sz w:val="24"/>
        </w:rPr>
        <w:t>Рисунок 1.1.2 — Функциональные блоки электронной ячейки</w:t>
      </w:r>
    </w:p>
    <w:p>
      <w:pPr>
        <w:jc w:val="both"/>
      </w:pPr>
      <w:r>
        <w:t>По ПЭ3 и СП: VD1 — красный, VD2 — жёлтый, VD3 — зелёный; по Э3 они подключены соответственно к PD0, PD1 и PD2 через R2–R4. R1 и C2 относятся к входной цепи кнопки. Наличие и назначение компонентов принимаются по чертежам, а противоречащие им фрагменты текста РПЗ не переносятся в модель.</w:t>
      </w:r>
    </w:p>
    <w:p>
      <w:pPr>
        <w:keepNext/>
        <w:ind w:firstLine="0"/>
      </w:pPr>
      <w:r>
        <w:t>Таблица 1.1.1 — Анализ сборочного состава</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pPr>
              <w:spacing w:line="240" w:lineRule="auto" w:after="80"/>
              <w:ind w:firstLine="0"/>
            </w:pPr>
            <w:r>
              <w:rPr>
                <w:sz w:val="22"/>
              </w:rPr>
              <w:t>Группа; обозначения</w:t>
            </w:r>
          </w:p>
        </w:tc>
        <w:tc>
          <w:tcPr>
            <w:tcW w:type="dxa" w:w="2339"/>
          </w:tcPr>
          <w:p>
            <w:pPr>
              <w:spacing w:line="240" w:lineRule="auto" w:after="80"/>
              <w:ind w:firstLine="0"/>
            </w:pPr>
            <w:r>
              <w:rPr>
                <w:sz w:val="22"/>
              </w:rPr>
              <w:t>Количество</w:t>
            </w:r>
          </w:p>
        </w:tc>
        <w:tc>
          <w:tcPr>
            <w:tcW w:type="dxa" w:w="2339"/>
          </w:tcPr>
          <w:p>
            <w:pPr>
              <w:spacing w:line="240" w:lineRule="auto" w:after="80"/>
              <w:ind w:firstLine="0"/>
            </w:pPr>
            <w:r>
              <w:rPr>
                <w:sz w:val="22"/>
              </w:rPr>
              <w:t>Исполнение и установка</w:t>
            </w:r>
          </w:p>
        </w:tc>
        <w:tc>
          <w:tcPr>
            <w:tcW w:type="dxa" w:w="2339"/>
          </w:tcPr>
          <w:p>
            <w:pPr>
              <w:spacing w:line="240" w:lineRule="auto" w:after="80"/>
              <w:ind w:firstLine="0"/>
            </w:pPr>
            <w:r>
              <w:rPr>
                <w:sz w:val="22"/>
              </w:rPr>
              <w:t>Операция</w:t>
            </w:r>
          </w:p>
        </w:tc>
      </w:tr>
      <w:tr>
        <w:tc>
          <w:tcPr>
            <w:tcW w:type="dxa" w:w="2339"/>
          </w:tcPr>
          <w:p>
            <w:pPr>
              <w:spacing w:line="240" w:lineRule="auto" w:after="80"/>
              <w:ind w:firstLine="0"/>
            </w:pPr>
            <w:r>
              <w:rPr>
                <w:sz w:val="22"/>
              </w:rPr>
              <w:t>Печатная плата</w:t>
            </w:r>
          </w:p>
        </w:tc>
        <w:tc>
          <w:tcPr>
            <w:tcW w:type="dxa" w:w="2339"/>
          </w:tcPr>
          <w:p>
            <w:pPr>
              <w:spacing w:line="240" w:lineRule="auto" w:after="80"/>
              <w:ind w:firstLine="0"/>
            </w:pPr>
            <w:r>
              <w:rPr>
                <w:sz w:val="22"/>
              </w:rPr>
              <w:t>1</w:t>
            </w:r>
          </w:p>
        </w:tc>
        <w:tc>
          <w:tcPr>
            <w:tcW w:type="dxa" w:w="2339"/>
          </w:tcPr>
          <w:p>
            <w:pPr>
              <w:spacing w:line="240" w:lineRule="auto" w:after="80"/>
              <w:ind w:firstLine="0"/>
            </w:pPr>
            <w:r>
              <w:rPr>
                <w:sz w:val="22"/>
              </w:rPr>
              <w:t>Готовая плата, контроль до сборки</w:t>
            </w:r>
          </w:p>
        </w:tc>
        <w:tc>
          <w:tcPr>
            <w:tcW w:type="dxa" w:w="2339"/>
          </w:tcPr>
          <w:p>
            <w:pPr>
              <w:spacing w:line="240" w:lineRule="auto" w:after="80"/>
              <w:ind w:firstLine="0"/>
            </w:pPr>
            <w:r>
              <w:rPr>
                <w:sz w:val="22"/>
              </w:rPr>
              <w:t>Входной контроль</w:t>
            </w:r>
          </w:p>
        </w:tc>
      </w:tr>
      <w:tr>
        <w:tc>
          <w:tcPr>
            <w:tcW w:type="dxa" w:w="2339"/>
          </w:tcPr>
          <w:p>
            <w:pPr>
              <w:spacing w:line="240" w:lineRule="auto" w:after="80"/>
              <w:ind w:firstLine="0"/>
            </w:pPr>
            <w:r>
              <w:rPr>
                <w:sz w:val="22"/>
              </w:rPr>
              <w:t>Резистор R1: 10 кОм; R2–R4: 470 Ом</w:t>
            </w:r>
          </w:p>
        </w:tc>
        <w:tc>
          <w:tcPr>
            <w:tcW w:type="dxa" w:w="2339"/>
          </w:tcPr>
          <w:p>
            <w:pPr>
              <w:spacing w:line="240" w:lineRule="auto" w:after="80"/>
              <w:ind w:firstLine="0"/>
            </w:pPr>
            <w:r>
              <w:rPr>
                <w:sz w:val="22"/>
              </w:rPr>
              <w:t>4</w:t>
            </w:r>
          </w:p>
        </w:tc>
        <w:tc>
          <w:tcPr>
            <w:tcW w:type="dxa" w:w="2339"/>
          </w:tcPr>
          <w:p>
            <w:pPr>
              <w:spacing w:line="240" w:lineRule="auto" w:after="80"/>
              <w:ind w:firstLine="0"/>
            </w:pPr>
            <w:r>
              <w:rPr>
                <w:sz w:val="22"/>
              </w:rPr>
              <w:t>MF-25, 0,25 Вт; формовка выводов по СБ</w:t>
            </w:r>
          </w:p>
        </w:tc>
        <w:tc>
          <w:tcPr>
            <w:tcW w:type="dxa" w:w="2339"/>
          </w:tcPr>
          <w:p>
            <w:pPr>
              <w:spacing w:line="240" w:lineRule="auto" w:after="80"/>
              <w:ind w:firstLine="0"/>
            </w:pPr>
            <w:r>
              <w:rPr>
                <w:sz w:val="22"/>
              </w:rPr>
              <w:t>Монтаж КМО</w:t>
            </w:r>
          </w:p>
        </w:tc>
      </w:tr>
      <w:tr>
        <w:tc>
          <w:tcPr>
            <w:tcW w:type="dxa" w:w="2339"/>
          </w:tcPr>
          <w:p>
            <w:pPr>
              <w:spacing w:line="240" w:lineRule="auto" w:after="80"/>
              <w:ind w:firstLine="0"/>
            </w:pPr>
            <w:r>
              <w:rPr>
                <w:sz w:val="22"/>
              </w:rPr>
              <w:t>Конденсаторы C1–C3: 0,1 мкФ; 50 В</w:t>
            </w:r>
          </w:p>
        </w:tc>
        <w:tc>
          <w:tcPr>
            <w:tcW w:type="dxa" w:w="2339"/>
          </w:tcPr>
          <w:p>
            <w:pPr>
              <w:spacing w:line="240" w:lineRule="auto" w:after="80"/>
              <w:ind w:firstLine="0"/>
            </w:pPr>
            <w:r>
              <w:rPr>
                <w:sz w:val="22"/>
              </w:rPr>
              <w:t>3</w:t>
            </w:r>
          </w:p>
        </w:tc>
        <w:tc>
          <w:tcPr>
            <w:tcW w:type="dxa" w:w="2339"/>
          </w:tcPr>
          <w:p>
            <w:pPr>
              <w:spacing w:line="240" w:lineRule="auto" w:after="80"/>
              <w:ind w:firstLine="0"/>
            </w:pPr>
            <w:r>
              <w:rPr>
                <w:sz w:val="22"/>
              </w:rPr>
              <w:t>Выводные, по СБ и СП</w:t>
            </w:r>
          </w:p>
        </w:tc>
        <w:tc>
          <w:tcPr>
            <w:tcW w:type="dxa" w:w="2339"/>
          </w:tcPr>
          <w:p>
            <w:pPr>
              <w:spacing w:line="240" w:lineRule="auto" w:after="80"/>
              <w:ind w:firstLine="0"/>
            </w:pPr>
            <w:r>
              <w:rPr>
                <w:sz w:val="22"/>
              </w:rPr>
              <w:t>Монтаж КМО</w:t>
            </w:r>
          </w:p>
        </w:tc>
      </w:tr>
      <w:tr>
        <w:tc>
          <w:tcPr>
            <w:tcW w:type="dxa" w:w="2339"/>
          </w:tcPr>
          <w:p>
            <w:pPr>
              <w:spacing w:line="240" w:lineRule="auto" w:after="80"/>
              <w:ind w:firstLine="0"/>
            </w:pPr>
            <w:r>
              <w:rPr>
                <w:sz w:val="22"/>
              </w:rPr>
              <w:t>Микроконтроллер DD1</w:t>
            </w:r>
          </w:p>
        </w:tc>
        <w:tc>
          <w:tcPr>
            <w:tcW w:type="dxa" w:w="2339"/>
          </w:tcPr>
          <w:p>
            <w:pPr>
              <w:spacing w:line="240" w:lineRule="auto" w:after="80"/>
              <w:ind w:firstLine="0"/>
            </w:pPr>
            <w:r>
              <w:rPr>
                <w:sz w:val="22"/>
              </w:rPr>
              <w:t>1</w:t>
            </w:r>
          </w:p>
        </w:tc>
        <w:tc>
          <w:tcPr>
            <w:tcW w:type="dxa" w:w="2339"/>
          </w:tcPr>
          <w:p>
            <w:pPr>
              <w:spacing w:line="240" w:lineRule="auto" w:after="80"/>
              <w:ind w:firstLine="0"/>
            </w:pPr>
            <w:r>
              <w:rPr>
                <w:sz w:val="22"/>
              </w:rPr>
              <w:t>ATmega8-16PU; DIP-28; ориентация по ключу</w:t>
            </w:r>
          </w:p>
        </w:tc>
        <w:tc>
          <w:tcPr>
            <w:tcW w:type="dxa" w:w="2339"/>
          </w:tcPr>
          <w:p>
            <w:pPr>
              <w:spacing w:line="240" w:lineRule="auto" w:after="80"/>
              <w:ind w:firstLine="0"/>
            </w:pPr>
            <w:r>
              <w:rPr>
                <w:sz w:val="22"/>
              </w:rPr>
              <w:t>Монтаж КМО; программирование</w:t>
            </w:r>
          </w:p>
        </w:tc>
      </w:tr>
      <w:tr>
        <w:tc>
          <w:tcPr>
            <w:tcW w:type="dxa" w:w="2339"/>
          </w:tcPr>
          <w:p>
            <w:pPr>
              <w:spacing w:line="240" w:lineRule="auto" w:after="80"/>
              <w:ind w:firstLine="0"/>
            </w:pPr>
            <w:r>
              <w:rPr>
                <w:sz w:val="22"/>
              </w:rPr>
              <w:t>Светодиоды VD1–VD3</w:t>
            </w:r>
          </w:p>
        </w:tc>
        <w:tc>
          <w:tcPr>
            <w:tcW w:type="dxa" w:w="2339"/>
          </w:tcPr>
          <w:p>
            <w:pPr>
              <w:spacing w:line="240" w:lineRule="auto" w:after="80"/>
              <w:ind w:firstLine="0"/>
            </w:pPr>
            <w:r>
              <w:rPr>
                <w:sz w:val="22"/>
              </w:rPr>
              <w:t>3</w:t>
            </w:r>
          </w:p>
        </w:tc>
        <w:tc>
          <w:tcPr>
            <w:tcW w:type="dxa" w:w="2339"/>
          </w:tcPr>
          <w:p>
            <w:pPr>
              <w:spacing w:line="240" w:lineRule="auto" w:after="80"/>
              <w:ind w:firstLine="0"/>
            </w:pPr>
            <w:r>
              <w:rPr>
                <w:sz w:val="22"/>
              </w:rPr>
              <w:t>Красный, жёлтый, зелёный; соблюдать полярность</w:t>
            </w:r>
          </w:p>
        </w:tc>
        <w:tc>
          <w:tcPr>
            <w:tcW w:type="dxa" w:w="2339"/>
          </w:tcPr>
          <w:p>
            <w:pPr>
              <w:spacing w:line="240" w:lineRule="auto" w:after="80"/>
              <w:ind w:firstLine="0"/>
            </w:pPr>
            <w:r>
              <w:rPr>
                <w:sz w:val="22"/>
              </w:rPr>
              <w:t>Монтаж КМО</w:t>
            </w:r>
          </w:p>
        </w:tc>
      </w:tr>
      <w:tr>
        <w:tc>
          <w:tcPr>
            <w:tcW w:type="dxa" w:w="2339"/>
          </w:tcPr>
          <w:p>
            <w:pPr>
              <w:spacing w:line="240" w:lineRule="auto" w:after="80"/>
              <w:ind w:firstLine="0"/>
            </w:pPr>
            <w:r>
              <w:rPr>
                <w:sz w:val="22"/>
              </w:rPr>
              <w:t>Кнопка SB1</w:t>
            </w:r>
          </w:p>
        </w:tc>
        <w:tc>
          <w:tcPr>
            <w:tcW w:type="dxa" w:w="2339"/>
          </w:tcPr>
          <w:p>
            <w:pPr>
              <w:spacing w:line="240" w:lineRule="auto" w:after="80"/>
              <w:ind w:firstLine="0"/>
            </w:pPr>
            <w:r>
              <w:rPr>
                <w:sz w:val="22"/>
              </w:rPr>
              <w:t>1</w:t>
            </w:r>
          </w:p>
        </w:tc>
        <w:tc>
          <w:tcPr>
            <w:tcW w:type="dxa" w:w="2339"/>
          </w:tcPr>
          <w:p>
            <w:pPr>
              <w:spacing w:line="240" w:lineRule="auto" w:after="80"/>
              <w:ind w:firstLine="0"/>
            </w:pPr>
            <w:r>
              <w:rPr>
                <w:sz w:val="22"/>
              </w:rPr>
              <w:t>Выводная; уточнить исполнение по комплекту КД</w:t>
            </w:r>
          </w:p>
        </w:tc>
        <w:tc>
          <w:tcPr>
            <w:tcW w:type="dxa" w:w="2339"/>
          </w:tcPr>
          <w:p>
            <w:pPr>
              <w:spacing w:line="240" w:lineRule="auto" w:after="80"/>
              <w:ind w:firstLine="0"/>
            </w:pPr>
            <w:r>
              <w:rPr>
                <w:sz w:val="22"/>
              </w:rPr>
              <w:t>Монтаж КМО</w:t>
            </w:r>
          </w:p>
        </w:tc>
      </w:tr>
      <w:tr>
        <w:tc>
          <w:tcPr>
            <w:tcW w:type="dxa" w:w="2339"/>
          </w:tcPr>
          <w:p>
            <w:pPr>
              <w:spacing w:line="240" w:lineRule="auto" w:after="80"/>
              <w:ind w:firstLine="0"/>
            </w:pPr>
            <w:r>
              <w:rPr>
                <w:sz w:val="22"/>
              </w:rPr>
              <w:t>Клеммник XS1</w:t>
            </w:r>
          </w:p>
        </w:tc>
        <w:tc>
          <w:tcPr>
            <w:tcW w:type="dxa" w:w="2339"/>
          </w:tcPr>
          <w:p>
            <w:pPr>
              <w:spacing w:line="240" w:lineRule="auto" w:after="80"/>
              <w:ind w:firstLine="0"/>
            </w:pPr>
            <w:r>
              <w:rPr>
                <w:sz w:val="22"/>
              </w:rPr>
              <w:t>1</w:t>
            </w:r>
          </w:p>
        </w:tc>
        <w:tc>
          <w:tcPr>
            <w:tcW w:type="dxa" w:w="2339"/>
          </w:tcPr>
          <w:p>
            <w:pPr>
              <w:spacing w:line="240" w:lineRule="auto" w:after="80"/>
              <w:ind w:firstLine="0"/>
            </w:pPr>
            <w:r>
              <w:rPr>
                <w:sz w:val="22"/>
              </w:rPr>
              <w:t>DG308-2.54-02P-14; ориентация входов</w:t>
            </w:r>
          </w:p>
        </w:tc>
        <w:tc>
          <w:tcPr>
            <w:tcW w:type="dxa" w:w="2339"/>
          </w:tcPr>
          <w:p>
            <w:pPr>
              <w:spacing w:line="240" w:lineRule="auto" w:after="80"/>
              <w:ind w:firstLine="0"/>
            </w:pPr>
            <w:r>
              <w:rPr>
                <w:sz w:val="22"/>
              </w:rPr>
              <w:t>Монтаж КМО</w:t>
            </w:r>
          </w:p>
        </w:tc>
      </w:tr>
    </w:tbl>
    <w:p>
      <w:pPr>
        <w:spacing w:after="0"/>
      </w:pPr>
    </w:p>
    <w:p>
      <w:pPr>
        <w:jc w:val="both"/>
      </w:pPr>
      <w:r>
        <w:t>Итого: 13 устанавливаемых компонентов и одна печатная плата. Варианты установки принимаются по СБ: C1–C3, R1–R4 — 010.02.0201.00.01; VD1–VD3, SB1 — 180.00.0000.0001; DD1 — 330.00.0000.0001; XS1 — вариант 1. Перед выдачей технологической документации эти обозначения необходимо сверить с действующим комплектом КД.</w:t>
      </w:r>
    </w:p>
    <w:p>
      <w:pPr>
        <w:keepNext/>
        <w:ind w:firstLine="0"/>
        <w:jc w:val="center"/>
      </w:pPr>
      <w:r>
        <w:drawing>
          <wp:inline xmlns:a="http://schemas.openxmlformats.org/drawingml/2006/main" xmlns:pic="http://schemas.openxmlformats.org/drawingml/2006/picture">
            <wp:extent cx="5760000" cy="7380480"/>
            <wp:docPr id="3" name="Picture 3"/>
            <wp:cNvGraphicFramePr>
              <a:graphicFrameLocks noChangeAspect="1"/>
            </wp:cNvGraphicFramePr>
            <a:graphic>
              <a:graphicData uri="http://schemas.openxmlformats.org/drawingml/2006/picture">
                <pic:pic>
                  <pic:nvPicPr>
                    <pic:cNvPr id="0" name="assembly.png"/>
                    <pic:cNvPicPr/>
                  </pic:nvPicPr>
                  <pic:blipFill>
                    <a:blip r:embed="rId12"/>
                    <a:stretch>
                      <a:fillRect/>
                    </a:stretch>
                  </pic:blipFill>
                  <pic:spPr>
                    <a:xfrm>
                      <a:off x="0" y="0"/>
                      <a:ext cx="5760000" cy="7380480"/>
                    </a:xfrm>
                    <a:prstGeom prst="rect"/>
                  </pic:spPr>
                </pic:pic>
              </a:graphicData>
            </a:graphic>
          </wp:inline>
        </w:drawing>
      </w:r>
    </w:p>
    <w:p>
      <w:pPr>
        <w:ind w:firstLine="0"/>
        <w:jc w:val="center"/>
      </w:pPr>
      <w:r>
        <w:rPr>
          <w:sz w:val="24"/>
        </w:rPr>
        <w:t>Рисунок 1.1.3 — Схема сборки электронной ячейки</w:t>
      </w:r>
    </w:p>
    <w:p>
      <w:pPr>
        <w:jc w:val="both"/>
      </w:pPr>
      <w:r>
        <w:t>Для малой серии выбран ручной монтаж и пайка паяльной станцией. По СБ применяются припой ПОС-61 и флюс ЛТИ-120, а для защиты мест пайки — лак КО-921. Покрытие наносится после устранения дефектов и положительного функционального контроля, с последующей выдержкой по инструкции на материал. Рабочие поверхности кнопки, клемм и оптические поверхности светодиодов маскируются.</w:t>
      </w:r>
    </w:p>
    <w:p>
      <w:pPr>
        <w:pStyle w:val="Heading2"/>
      </w:pPr>
      <w:r>
        <w:t>1.2 Анализ маршрута сборки электронной ячейки в серийном производстве</w:t>
      </w:r>
    </w:p>
    <w:p>
      <w:pPr>
        <w:jc w:val="both"/>
      </w:pPr>
      <w:r>
        <w:t>Рассматривается учебный вариант организации мелкосерийного выпуска на универсальных рабочих местах. Объём выпуска и результаты хронометража в исходных материалах отсутствуют. Значения времени в таблице 1.2.1 являются предварительными инженерными оценками на одну ячейку, а не установленными нормами. Коды, совпадающие с образцом, приведены для сопоставления; их применимость подлежит проверке по используемому классификатору.</w:t>
      </w:r>
    </w:p>
    <w:p>
      <w:pPr>
        <w:keepNext/>
        <w:ind w:firstLine="0"/>
      </w:pPr>
      <w:r>
        <w:t>Таблица 1.2.1 — Предлагаемый маршрут сборки</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pPr>
              <w:spacing w:line="240" w:lineRule="auto" w:after="80"/>
              <w:ind w:firstLine="0"/>
            </w:pPr>
            <w:r>
              <w:rPr>
                <w:sz w:val="22"/>
              </w:rPr>
              <w:t>№</w:t>
            </w:r>
          </w:p>
        </w:tc>
        <w:tc>
          <w:tcPr>
            <w:tcW w:type="dxa" w:w="1871"/>
          </w:tcPr>
          <w:p>
            <w:pPr>
              <w:spacing w:line="240" w:lineRule="auto" w:after="80"/>
              <w:ind w:firstLine="0"/>
            </w:pPr>
            <w:r>
              <w:rPr>
                <w:sz w:val="22"/>
              </w:rPr>
              <w:t>Код*</w:t>
            </w:r>
          </w:p>
        </w:tc>
        <w:tc>
          <w:tcPr>
            <w:tcW w:type="dxa" w:w="1871"/>
          </w:tcPr>
          <w:p>
            <w:pPr>
              <w:spacing w:line="240" w:lineRule="auto" w:after="80"/>
              <w:ind w:firstLine="0"/>
            </w:pPr>
            <w:r>
              <w:rPr>
                <w:sz w:val="22"/>
              </w:rPr>
              <w:t>Операция</w:t>
            </w:r>
          </w:p>
        </w:tc>
        <w:tc>
          <w:tcPr>
            <w:tcW w:type="dxa" w:w="1871"/>
          </w:tcPr>
          <w:p>
            <w:pPr>
              <w:spacing w:line="240" w:lineRule="auto" w:after="80"/>
              <w:ind w:firstLine="0"/>
            </w:pPr>
            <w:r>
              <w:rPr>
                <w:sz w:val="22"/>
              </w:rPr>
              <w:t>Оборудование</w:t>
            </w:r>
          </w:p>
        </w:tc>
        <w:tc>
          <w:tcPr>
            <w:tcW w:type="dxa" w:w="1871"/>
          </w:tcPr>
          <w:p>
            <w:pPr>
              <w:spacing w:line="240" w:lineRule="auto" w:after="80"/>
              <w:ind w:firstLine="0"/>
            </w:pPr>
            <w:r>
              <w:rPr>
                <w:sz w:val="22"/>
              </w:rPr>
              <w:t>t, с</w:t>
            </w:r>
          </w:p>
        </w:tc>
      </w:tr>
      <w:tr>
        <w:tc>
          <w:tcPr>
            <w:tcW w:type="dxa" w:w="1871"/>
          </w:tcPr>
          <w:p>
            <w:pPr>
              <w:spacing w:line="240" w:lineRule="auto" w:after="80"/>
              <w:ind w:firstLine="0"/>
            </w:pPr>
            <w:r>
              <w:rPr>
                <w:sz w:val="22"/>
              </w:rPr>
              <w:t>01</w:t>
            </w:r>
          </w:p>
        </w:tc>
        <w:tc>
          <w:tcPr>
            <w:tcW w:type="dxa" w:w="1871"/>
          </w:tcPr>
          <w:p>
            <w:pPr>
              <w:spacing w:line="240" w:lineRule="auto" w:after="80"/>
              <w:ind w:firstLine="0"/>
            </w:pPr>
            <w:r>
              <w:rPr>
                <w:sz w:val="22"/>
              </w:rPr>
              <w:t>0850</w:t>
            </w:r>
          </w:p>
        </w:tc>
        <w:tc>
          <w:tcPr>
            <w:tcW w:type="dxa" w:w="1871"/>
          </w:tcPr>
          <w:p>
            <w:pPr>
              <w:spacing w:line="240" w:lineRule="auto" w:after="80"/>
              <w:ind w:firstLine="0"/>
            </w:pPr>
            <w:r>
              <w:rPr>
                <w:sz w:val="22"/>
              </w:rPr>
              <w:t>Распаковывание и входная проверка</w:t>
            </w:r>
          </w:p>
        </w:tc>
        <w:tc>
          <w:tcPr>
            <w:tcW w:type="dxa" w:w="1871"/>
          </w:tcPr>
          <w:p>
            <w:pPr>
              <w:spacing w:line="240" w:lineRule="auto" w:after="80"/>
              <w:ind w:firstLine="0"/>
            </w:pPr>
            <w:r>
              <w:rPr>
                <w:sz w:val="22"/>
              </w:rPr>
              <w:t>Монтажный стол; антистатическое оснащение</w:t>
            </w:r>
          </w:p>
        </w:tc>
        <w:tc>
          <w:tcPr>
            <w:tcW w:type="dxa" w:w="1871"/>
          </w:tcPr>
          <w:p>
            <w:pPr>
              <w:spacing w:line="240" w:lineRule="auto" w:after="80"/>
              <w:ind w:firstLine="0"/>
            </w:pPr>
            <w:r>
              <w:rPr>
                <w:sz w:val="22"/>
              </w:rPr>
              <w:t>90</w:t>
            </w:r>
          </w:p>
        </w:tc>
      </w:tr>
      <w:tr>
        <w:tc>
          <w:tcPr>
            <w:tcW w:type="dxa" w:w="1871"/>
          </w:tcPr>
          <w:p>
            <w:pPr>
              <w:spacing w:line="240" w:lineRule="auto" w:after="80"/>
              <w:ind w:firstLine="0"/>
            </w:pPr>
            <w:r>
              <w:rPr>
                <w:sz w:val="22"/>
              </w:rPr>
              <w:t>02</w:t>
            </w:r>
          </w:p>
        </w:tc>
        <w:tc>
          <w:tcPr>
            <w:tcW w:type="dxa" w:w="1871"/>
          </w:tcPr>
          <w:p>
            <w:pPr>
              <w:spacing w:line="240" w:lineRule="auto" w:after="80"/>
              <w:ind w:firstLine="0"/>
            </w:pPr>
            <w:r>
              <w:rPr>
                <w:sz w:val="22"/>
              </w:rPr>
              <w:t>0418</w:t>
            </w:r>
          </w:p>
        </w:tc>
        <w:tc>
          <w:tcPr>
            <w:tcW w:type="dxa" w:w="1871"/>
          </w:tcPr>
          <w:p>
            <w:pPr>
              <w:spacing w:line="240" w:lineRule="auto" w:after="80"/>
              <w:ind w:firstLine="0"/>
            </w:pPr>
            <w:r>
              <w:rPr>
                <w:sz w:val="22"/>
              </w:rPr>
              <w:t>Комплектование</w:t>
            </w:r>
          </w:p>
        </w:tc>
        <w:tc>
          <w:tcPr>
            <w:tcW w:type="dxa" w:w="1871"/>
          </w:tcPr>
          <w:p>
            <w:pPr>
              <w:spacing w:line="240" w:lineRule="auto" w:after="80"/>
              <w:ind w:firstLine="0"/>
            </w:pPr>
            <w:r>
              <w:rPr>
                <w:sz w:val="22"/>
              </w:rPr>
              <w:t>Стол; комплектовочная тара</w:t>
            </w:r>
          </w:p>
        </w:tc>
        <w:tc>
          <w:tcPr>
            <w:tcW w:type="dxa" w:w="1871"/>
          </w:tcPr>
          <w:p>
            <w:pPr>
              <w:spacing w:line="240" w:lineRule="auto" w:after="80"/>
              <w:ind w:firstLine="0"/>
            </w:pPr>
            <w:r>
              <w:rPr>
                <w:sz w:val="22"/>
              </w:rPr>
              <w:t>60</w:t>
            </w:r>
          </w:p>
        </w:tc>
      </w:tr>
      <w:tr>
        <w:tc>
          <w:tcPr>
            <w:tcW w:type="dxa" w:w="1871"/>
          </w:tcPr>
          <w:p>
            <w:pPr>
              <w:spacing w:line="240" w:lineRule="auto" w:after="80"/>
              <w:ind w:firstLine="0"/>
            </w:pPr>
            <w:r>
              <w:rPr>
                <w:sz w:val="22"/>
              </w:rPr>
              <w:t>03</w:t>
            </w:r>
          </w:p>
        </w:tc>
        <w:tc>
          <w:tcPr>
            <w:tcW w:type="dxa" w:w="1871"/>
          </w:tcPr>
          <w:p>
            <w:pPr>
              <w:spacing w:line="240" w:lineRule="auto" w:after="80"/>
              <w:ind w:firstLine="0"/>
            </w:pPr>
            <w:r>
              <w:rPr>
                <w:sz w:val="22"/>
              </w:rPr>
              <w:t>8884</w:t>
            </w:r>
          </w:p>
        </w:tc>
        <w:tc>
          <w:tcPr>
            <w:tcW w:type="dxa" w:w="1871"/>
          </w:tcPr>
          <w:p>
            <w:pPr>
              <w:spacing w:line="240" w:lineRule="auto" w:after="80"/>
              <w:ind w:firstLine="0"/>
            </w:pPr>
            <w:r>
              <w:rPr>
                <w:sz w:val="22"/>
              </w:rPr>
              <w:t>Подготовка и монтаж КМО</w:t>
            </w:r>
          </w:p>
        </w:tc>
        <w:tc>
          <w:tcPr>
            <w:tcW w:type="dxa" w:w="1871"/>
          </w:tcPr>
          <w:p>
            <w:pPr>
              <w:spacing w:line="240" w:lineRule="auto" w:after="80"/>
              <w:ind w:firstLine="0"/>
            </w:pPr>
            <w:r>
              <w:rPr>
                <w:sz w:val="22"/>
              </w:rPr>
              <w:t>Стол; инструмент; держатель платы</w:t>
            </w:r>
          </w:p>
        </w:tc>
        <w:tc>
          <w:tcPr>
            <w:tcW w:type="dxa" w:w="1871"/>
          </w:tcPr>
          <w:p>
            <w:pPr>
              <w:spacing w:line="240" w:lineRule="auto" w:after="80"/>
              <w:ind w:firstLine="0"/>
            </w:pPr>
            <w:r>
              <w:rPr>
                <w:sz w:val="22"/>
              </w:rPr>
              <w:t>240</w:t>
            </w:r>
          </w:p>
        </w:tc>
      </w:tr>
      <w:tr>
        <w:tc>
          <w:tcPr>
            <w:tcW w:type="dxa" w:w="1871"/>
          </w:tcPr>
          <w:p>
            <w:pPr>
              <w:spacing w:line="240" w:lineRule="auto" w:after="80"/>
              <w:ind w:firstLine="0"/>
            </w:pPr>
            <w:r>
              <w:rPr>
                <w:sz w:val="22"/>
              </w:rPr>
              <w:t>04</w:t>
            </w:r>
          </w:p>
        </w:tc>
        <w:tc>
          <w:tcPr>
            <w:tcW w:type="dxa" w:w="1871"/>
          </w:tcPr>
          <w:p>
            <w:pPr>
              <w:spacing w:line="240" w:lineRule="auto" w:after="80"/>
              <w:ind w:firstLine="0"/>
            </w:pPr>
            <w:r>
              <w:rPr>
                <w:sz w:val="22"/>
              </w:rPr>
              <w:t>7139</w:t>
            </w:r>
          </w:p>
        </w:tc>
        <w:tc>
          <w:tcPr>
            <w:tcW w:type="dxa" w:w="1871"/>
          </w:tcPr>
          <w:p>
            <w:pPr>
              <w:spacing w:line="240" w:lineRule="auto" w:after="80"/>
              <w:ind w:firstLine="0"/>
            </w:pPr>
            <w:r>
              <w:rPr>
                <w:sz w:val="22"/>
              </w:rPr>
              <w:t>Флюсование</w:t>
            </w:r>
          </w:p>
        </w:tc>
        <w:tc>
          <w:tcPr>
            <w:tcW w:type="dxa" w:w="1871"/>
          </w:tcPr>
          <w:p>
            <w:pPr>
              <w:spacing w:line="240" w:lineRule="auto" w:after="80"/>
              <w:ind w:firstLine="0"/>
            </w:pPr>
            <w:r>
              <w:rPr>
                <w:sz w:val="22"/>
              </w:rPr>
              <w:t>Дозатор; кисть; вытяжка</w:t>
            </w:r>
          </w:p>
        </w:tc>
        <w:tc>
          <w:tcPr>
            <w:tcW w:type="dxa" w:w="1871"/>
          </w:tcPr>
          <w:p>
            <w:pPr>
              <w:spacing w:line="240" w:lineRule="auto" w:after="80"/>
              <w:ind w:firstLine="0"/>
            </w:pPr>
            <w:r>
              <w:rPr>
                <w:sz w:val="22"/>
              </w:rPr>
              <w:t>60</w:t>
            </w:r>
          </w:p>
        </w:tc>
      </w:tr>
      <w:tr>
        <w:tc>
          <w:tcPr>
            <w:tcW w:type="dxa" w:w="1871"/>
          </w:tcPr>
          <w:p>
            <w:pPr>
              <w:spacing w:line="240" w:lineRule="auto" w:after="80"/>
              <w:ind w:firstLine="0"/>
            </w:pPr>
            <w:r>
              <w:rPr>
                <w:sz w:val="22"/>
              </w:rPr>
              <w:t>05</w:t>
            </w:r>
          </w:p>
        </w:tc>
        <w:tc>
          <w:tcPr>
            <w:tcW w:type="dxa" w:w="1871"/>
          </w:tcPr>
          <w:p>
            <w:pPr>
              <w:spacing w:line="240" w:lineRule="auto" w:after="80"/>
              <w:ind w:firstLine="0"/>
            </w:pPr>
            <w:r>
              <w:rPr>
                <w:sz w:val="22"/>
              </w:rPr>
              <w:t>8011</w:t>
            </w:r>
          </w:p>
        </w:tc>
        <w:tc>
          <w:tcPr>
            <w:tcW w:type="dxa" w:w="1871"/>
          </w:tcPr>
          <w:p>
            <w:pPr>
              <w:spacing w:line="240" w:lineRule="auto" w:after="80"/>
              <w:ind w:firstLine="0"/>
            </w:pPr>
            <w:r>
              <w:rPr>
                <w:sz w:val="22"/>
              </w:rPr>
              <w:t>Пайка паяльником</w:t>
            </w:r>
          </w:p>
        </w:tc>
        <w:tc>
          <w:tcPr>
            <w:tcW w:type="dxa" w:w="1871"/>
          </w:tcPr>
          <w:p>
            <w:pPr>
              <w:spacing w:line="240" w:lineRule="auto" w:after="80"/>
              <w:ind w:firstLine="0"/>
            </w:pPr>
            <w:r>
              <w:rPr>
                <w:sz w:val="22"/>
              </w:rPr>
              <w:t>Паяльная станция; вытяжка</w:t>
            </w:r>
          </w:p>
        </w:tc>
        <w:tc>
          <w:tcPr>
            <w:tcW w:type="dxa" w:w="1871"/>
          </w:tcPr>
          <w:p>
            <w:pPr>
              <w:spacing w:line="240" w:lineRule="auto" w:after="80"/>
              <w:ind w:firstLine="0"/>
            </w:pPr>
            <w:r>
              <w:rPr>
                <w:sz w:val="22"/>
              </w:rPr>
              <w:t>300</w:t>
            </w:r>
          </w:p>
        </w:tc>
      </w:tr>
      <w:tr>
        <w:tc>
          <w:tcPr>
            <w:tcW w:type="dxa" w:w="1871"/>
          </w:tcPr>
          <w:p>
            <w:pPr>
              <w:spacing w:line="240" w:lineRule="auto" w:after="80"/>
              <w:ind w:firstLine="0"/>
            </w:pPr>
            <w:r>
              <w:rPr>
                <w:sz w:val="22"/>
              </w:rPr>
              <w:t>06</w:t>
            </w:r>
          </w:p>
        </w:tc>
        <w:tc>
          <w:tcPr>
            <w:tcW w:type="dxa" w:w="1871"/>
          </w:tcPr>
          <w:p>
            <w:pPr>
              <w:spacing w:line="240" w:lineRule="auto" w:after="80"/>
              <w:ind w:firstLine="0"/>
            </w:pPr>
            <w:r>
              <w:rPr>
                <w:sz w:val="22"/>
              </w:rPr>
              <w:t>0127</w:t>
            </w:r>
          </w:p>
        </w:tc>
        <w:tc>
          <w:tcPr>
            <w:tcW w:type="dxa" w:w="1871"/>
          </w:tcPr>
          <w:p>
            <w:pPr>
              <w:spacing w:line="240" w:lineRule="auto" w:after="80"/>
              <w:ind w:firstLine="0"/>
            </w:pPr>
            <w:r>
              <w:rPr>
                <w:sz w:val="22"/>
              </w:rPr>
              <w:t>Промывка</w:t>
            </w:r>
          </w:p>
        </w:tc>
        <w:tc>
          <w:tcPr>
            <w:tcW w:type="dxa" w:w="1871"/>
          </w:tcPr>
          <w:p>
            <w:pPr>
              <w:spacing w:line="240" w:lineRule="auto" w:after="80"/>
              <w:ind w:firstLine="0"/>
            </w:pPr>
            <w:r>
              <w:rPr>
                <w:sz w:val="22"/>
              </w:rPr>
              <w:t>Установка очистки; совместимый состав</w:t>
            </w:r>
          </w:p>
        </w:tc>
        <w:tc>
          <w:tcPr>
            <w:tcW w:type="dxa" w:w="1871"/>
          </w:tcPr>
          <w:p>
            <w:pPr>
              <w:spacing w:line="240" w:lineRule="auto" w:after="80"/>
              <w:ind w:firstLine="0"/>
            </w:pPr>
            <w:r>
              <w:rPr>
                <w:sz w:val="22"/>
              </w:rPr>
              <w:t>90</w:t>
            </w:r>
          </w:p>
        </w:tc>
      </w:tr>
      <w:tr>
        <w:tc>
          <w:tcPr>
            <w:tcW w:type="dxa" w:w="1871"/>
          </w:tcPr>
          <w:p>
            <w:pPr>
              <w:spacing w:line="240" w:lineRule="auto" w:after="80"/>
              <w:ind w:firstLine="0"/>
            </w:pPr>
            <w:r>
              <w:rPr>
                <w:sz w:val="22"/>
              </w:rPr>
              <w:t>07</w:t>
            </w:r>
          </w:p>
        </w:tc>
        <w:tc>
          <w:tcPr>
            <w:tcW w:type="dxa" w:w="1871"/>
          </w:tcPr>
          <w:p>
            <w:pPr>
              <w:spacing w:line="240" w:lineRule="auto" w:after="80"/>
              <w:ind w:firstLine="0"/>
            </w:pPr>
            <w:r>
              <w:rPr>
                <w:sz w:val="22"/>
              </w:rPr>
              <w:t>0170</w:t>
            </w:r>
          </w:p>
        </w:tc>
        <w:tc>
          <w:tcPr>
            <w:tcW w:type="dxa" w:w="1871"/>
          </w:tcPr>
          <w:p>
            <w:pPr>
              <w:spacing w:line="240" w:lineRule="auto" w:after="80"/>
              <w:ind w:firstLine="0"/>
            </w:pPr>
            <w:r>
              <w:rPr>
                <w:sz w:val="22"/>
              </w:rPr>
              <w:t>Сушка</w:t>
            </w:r>
          </w:p>
        </w:tc>
        <w:tc>
          <w:tcPr>
            <w:tcW w:type="dxa" w:w="1871"/>
          </w:tcPr>
          <w:p>
            <w:pPr>
              <w:spacing w:line="240" w:lineRule="auto" w:after="80"/>
              <w:ind w:firstLine="0"/>
            </w:pPr>
            <w:r>
              <w:rPr>
                <w:sz w:val="22"/>
              </w:rPr>
              <w:t>Сушильное оборудование</w:t>
            </w:r>
          </w:p>
        </w:tc>
        <w:tc>
          <w:tcPr>
            <w:tcW w:type="dxa" w:w="1871"/>
          </w:tcPr>
          <w:p>
            <w:pPr>
              <w:spacing w:line="240" w:lineRule="auto" w:after="80"/>
              <w:ind w:firstLine="0"/>
            </w:pPr>
            <w:r>
              <w:rPr>
                <w:sz w:val="22"/>
              </w:rPr>
              <w:t>180</w:t>
            </w:r>
          </w:p>
        </w:tc>
      </w:tr>
      <w:tr>
        <w:tc>
          <w:tcPr>
            <w:tcW w:type="dxa" w:w="1871"/>
          </w:tcPr>
          <w:p>
            <w:pPr>
              <w:spacing w:line="240" w:lineRule="auto" w:after="80"/>
              <w:ind w:firstLine="0"/>
            </w:pPr>
            <w:r>
              <w:rPr>
                <w:sz w:val="22"/>
              </w:rPr>
              <w:t>08</w:t>
            </w:r>
          </w:p>
        </w:tc>
        <w:tc>
          <w:tcPr>
            <w:tcW w:type="dxa" w:w="1871"/>
          </w:tcPr>
          <w:p>
            <w:pPr>
              <w:spacing w:line="240" w:lineRule="auto" w:after="80"/>
              <w:ind w:firstLine="0"/>
            </w:pPr>
            <w:r>
              <w:rPr>
                <w:sz w:val="22"/>
              </w:rPr>
              <w:t>Уточнить</w:t>
            </w:r>
          </w:p>
        </w:tc>
        <w:tc>
          <w:tcPr>
            <w:tcW w:type="dxa" w:w="1871"/>
          </w:tcPr>
          <w:p>
            <w:pPr>
              <w:spacing w:line="240" w:lineRule="auto" w:after="80"/>
              <w:ind w:firstLine="0"/>
            </w:pPr>
            <w:r>
              <w:rPr>
                <w:sz w:val="22"/>
              </w:rPr>
              <w:t>Программирование и верификация DD1</w:t>
            </w:r>
          </w:p>
        </w:tc>
        <w:tc>
          <w:tcPr>
            <w:tcW w:type="dxa" w:w="1871"/>
          </w:tcPr>
          <w:p>
            <w:pPr>
              <w:spacing w:line="240" w:lineRule="auto" w:after="80"/>
              <w:ind w:firstLine="0"/>
            </w:pPr>
            <w:r>
              <w:rPr>
                <w:sz w:val="22"/>
              </w:rPr>
              <w:t>AVR-программатор; адаптер; ПК</w:t>
            </w:r>
          </w:p>
        </w:tc>
        <w:tc>
          <w:tcPr>
            <w:tcW w:type="dxa" w:w="1871"/>
          </w:tcPr>
          <w:p>
            <w:pPr>
              <w:spacing w:line="240" w:lineRule="auto" w:after="80"/>
              <w:ind w:firstLine="0"/>
            </w:pPr>
            <w:r>
              <w:rPr>
                <w:sz w:val="22"/>
              </w:rPr>
              <w:t>120</w:t>
            </w:r>
          </w:p>
        </w:tc>
      </w:tr>
      <w:tr>
        <w:tc>
          <w:tcPr>
            <w:tcW w:type="dxa" w:w="1871"/>
          </w:tcPr>
          <w:p>
            <w:pPr>
              <w:spacing w:line="240" w:lineRule="auto" w:after="80"/>
              <w:ind w:firstLine="0"/>
            </w:pPr>
            <w:r>
              <w:rPr>
                <w:sz w:val="22"/>
              </w:rPr>
              <w:t>09</w:t>
            </w:r>
          </w:p>
        </w:tc>
        <w:tc>
          <w:tcPr>
            <w:tcW w:type="dxa" w:w="1871"/>
          </w:tcPr>
          <w:p>
            <w:pPr>
              <w:spacing w:line="240" w:lineRule="auto" w:after="80"/>
              <w:ind w:firstLine="0"/>
            </w:pPr>
            <w:r>
              <w:rPr>
                <w:sz w:val="22"/>
              </w:rPr>
              <w:t>0387</w:t>
            </w:r>
          </w:p>
        </w:tc>
        <w:tc>
          <w:tcPr>
            <w:tcW w:type="dxa" w:w="1871"/>
          </w:tcPr>
          <w:p>
            <w:pPr>
              <w:spacing w:line="240" w:lineRule="auto" w:after="80"/>
              <w:ind w:firstLine="0"/>
            </w:pPr>
            <w:r>
              <w:rPr>
                <w:sz w:val="22"/>
              </w:rPr>
              <w:t>Визуально-оптический контроль</w:t>
            </w:r>
          </w:p>
        </w:tc>
        <w:tc>
          <w:tcPr>
            <w:tcW w:type="dxa" w:w="1871"/>
          </w:tcPr>
          <w:p>
            <w:pPr>
              <w:spacing w:line="240" w:lineRule="auto" w:after="80"/>
              <w:ind w:firstLine="0"/>
            </w:pPr>
            <w:r>
              <w:rPr>
                <w:sz w:val="22"/>
              </w:rPr>
              <w:t>Микроскоп 16×</w:t>
            </w:r>
          </w:p>
        </w:tc>
        <w:tc>
          <w:tcPr>
            <w:tcW w:type="dxa" w:w="1871"/>
          </w:tcPr>
          <w:p>
            <w:pPr>
              <w:spacing w:line="240" w:lineRule="auto" w:after="80"/>
              <w:ind w:firstLine="0"/>
            </w:pPr>
            <w:r>
              <w:rPr>
                <w:sz w:val="22"/>
              </w:rPr>
              <w:t>120</w:t>
            </w:r>
          </w:p>
        </w:tc>
      </w:tr>
      <w:tr>
        <w:tc>
          <w:tcPr>
            <w:tcW w:type="dxa" w:w="1871"/>
          </w:tcPr>
          <w:p>
            <w:pPr>
              <w:spacing w:line="240" w:lineRule="auto" w:after="80"/>
              <w:ind w:firstLine="0"/>
            </w:pPr>
            <w:r>
              <w:rPr>
                <w:sz w:val="22"/>
              </w:rPr>
              <w:t>10</w:t>
            </w:r>
          </w:p>
        </w:tc>
        <w:tc>
          <w:tcPr>
            <w:tcW w:type="dxa" w:w="1871"/>
          </w:tcPr>
          <w:p>
            <w:pPr>
              <w:spacing w:line="240" w:lineRule="auto" w:after="80"/>
              <w:ind w:firstLine="0"/>
            </w:pPr>
            <w:r>
              <w:rPr>
                <w:sz w:val="22"/>
              </w:rPr>
              <w:t>0320*</w:t>
            </w:r>
          </w:p>
        </w:tc>
        <w:tc>
          <w:tcPr>
            <w:tcW w:type="dxa" w:w="1871"/>
          </w:tcPr>
          <w:p>
            <w:pPr>
              <w:spacing w:line="240" w:lineRule="auto" w:after="80"/>
              <w:ind w:firstLine="0"/>
            </w:pPr>
            <w:r>
              <w:rPr>
                <w:sz w:val="22"/>
              </w:rPr>
              <w:t>Электрический и функциональный контроль</w:t>
            </w:r>
          </w:p>
        </w:tc>
        <w:tc>
          <w:tcPr>
            <w:tcW w:type="dxa" w:w="1871"/>
          </w:tcPr>
          <w:p>
            <w:pPr>
              <w:spacing w:line="240" w:lineRule="auto" w:after="80"/>
              <w:ind w:firstLine="0"/>
            </w:pPr>
            <w:r>
              <w:rPr>
                <w:sz w:val="22"/>
              </w:rPr>
              <w:t>Источник 5 В; мультиметр; осциллограф</w:t>
            </w:r>
          </w:p>
        </w:tc>
        <w:tc>
          <w:tcPr>
            <w:tcW w:type="dxa" w:w="1871"/>
          </w:tcPr>
          <w:p>
            <w:pPr>
              <w:spacing w:line="240" w:lineRule="auto" w:after="80"/>
              <w:ind w:firstLine="0"/>
            </w:pPr>
            <w:r>
              <w:rPr>
                <w:sz w:val="22"/>
              </w:rPr>
              <w:t>180</w:t>
            </w:r>
          </w:p>
        </w:tc>
      </w:tr>
      <w:tr>
        <w:tc>
          <w:tcPr>
            <w:tcW w:type="dxa" w:w="1871"/>
          </w:tcPr>
          <w:p>
            <w:pPr>
              <w:spacing w:line="240" w:lineRule="auto" w:after="80"/>
              <w:ind w:firstLine="0"/>
            </w:pPr>
            <w:r>
              <w:rPr>
                <w:sz w:val="22"/>
              </w:rPr>
              <w:t>11</w:t>
            </w:r>
          </w:p>
        </w:tc>
        <w:tc>
          <w:tcPr>
            <w:tcW w:type="dxa" w:w="1871"/>
          </w:tcPr>
          <w:p>
            <w:pPr>
              <w:spacing w:line="240" w:lineRule="auto" w:after="80"/>
              <w:ind w:firstLine="0"/>
            </w:pPr>
            <w:r>
              <w:rPr>
                <w:sz w:val="22"/>
              </w:rPr>
              <w:t>7427</w:t>
            </w:r>
          </w:p>
        </w:tc>
        <w:tc>
          <w:tcPr>
            <w:tcW w:type="dxa" w:w="1871"/>
          </w:tcPr>
          <w:p>
            <w:pPr>
              <w:spacing w:line="240" w:lineRule="auto" w:after="80"/>
              <w:ind w:firstLine="0"/>
            </w:pPr>
            <w:r>
              <w:rPr>
                <w:sz w:val="22"/>
              </w:rPr>
              <w:t>Нанесение защитного покрытия</w:t>
            </w:r>
          </w:p>
        </w:tc>
        <w:tc>
          <w:tcPr>
            <w:tcW w:type="dxa" w:w="1871"/>
          </w:tcPr>
          <w:p>
            <w:pPr>
              <w:spacing w:line="240" w:lineRule="auto" w:after="80"/>
              <w:ind w:firstLine="0"/>
            </w:pPr>
            <w:r>
              <w:rPr>
                <w:sz w:val="22"/>
              </w:rPr>
              <w:t>Кисть; маски; вытяжка</w:t>
            </w:r>
          </w:p>
        </w:tc>
        <w:tc>
          <w:tcPr>
            <w:tcW w:type="dxa" w:w="1871"/>
          </w:tcPr>
          <w:p>
            <w:pPr>
              <w:spacing w:line="240" w:lineRule="auto" w:after="80"/>
              <w:ind w:firstLine="0"/>
            </w:pPr>
            <w:r>
              <w:rPr>
                <w:sz w:val="22"/>
              </w:rPr>
              <w:t>60</w:t>
            </w:r>
          </w:p>
        </w:tc>
      </w:tr>
      <w:tr>
        <w:tc>
          <w:tcPr>
            <w:tcW w:type="dxa" w:w="1871"/>
          </w:tcPr>
          <w:p>
            <w:pPr>
              <w:spacing w:line="240" w:lineRule="auto" w:after="80"/>
              <w:ind w:firstLine="0"/>
            </w:pPr>
            <w:r>
              <w:rPr>
                <w:sz w:val="22"/>
              </w:rPr>
              <w:t>12</w:t>
            </w:r>
          </w:p>
        </w:tc>
        <w:tc>
          <w:tcPr>
            <w:tcW w:type="dxa" w:w="1871"/>
          </w:tcPr>
          <w:p>
            <w:pPr>
              <w:spacing w:line="240" w:lineRule="auto" w:after="80"/>
              <w:ind w:firstLine="0"/>
            </w:pPr>
            <w:r>
              <w:rPr>
                <w:sz w:val="22"/>
              </w:rPr>
              <w:t>Уточнить</w:t>
            </w:r>
          </w:p>
        </w:tc>
        <w:tc>
          <w:tcPr>
            <w:tcW w:type="dxa" w:w="1871"/>
          </w:tcPr>
          <w:p>
            <w:pPr>
              <w:spacing w:line="240" w:lineRule="auto" w:after="80"/>
              <w:ind w:firstLine="0"/>
            </w:pPr>
            <w:r>
              <w:rPr>
                <w:sz w:val="22"/>
              </w:rPr>
              <w:t>Выдержка покрытия и окончательная приёмка</w:t>
            </w:r>
          </w:p>
        </w:tc>
        <w:tc>
          <w:tcPr>
            <w:tcW w:type="dxa" w:w="1871"/>
          </w:tcPr>
          <w:p>
            <w:pPr>
              <w:spacing w:line="240" w:lineRule="auto" w:after="80"/>
              <w:ind w:firstLine="0"/>
            </w:pPr>
            <w:r>
              <w:rPr>
                <w:sz w:val="22"/>
              </w:rPr>
              <w:t>Оснащение по инструкции на лак</w:t>
            </w:r>
          </w:p>
        </w:tc>
        <w:tc>
          <w:tcPr>
            <w:tcW w:type="dxa" w:w="1871"/>
          </w:tcPr>
          <w:p>
            <w:pPr>
              <w:spacing w:line="240" w:lineRule="auto" w:after="80"/>
              <w:ind w:firstLine="0"/>
            </w:pPr>
            <w:r>
              <w:rPr>
                <w:sz w:val="22"/>
              </w:rPr>
              <w:t>τлак + 60</w:t>
            </w:r>
          </w:p>
        </w:tc>
      </w:tr>
    </w:tbl>
    <w:p>
      <w:pPr>
        <w:spacing w:after="0"/>
      </w:pPr>
    </w:p>
    <w:p>
      <w:pPr>
        <w:jc w:val="both"/>
      </w:pPr>
      <w:r>
        <w:t>Сумма оценок без выдержки покрытия: T = 1560 с = 26.0 мин. Полное время прохождения одной ячейки без межоперационных ожиданий: Tпрох = 1560 + τлак, с. Параметр τлак определяется технологической инструкцией и режимом отверждения КО-921; произвольное значение ему не назначается. При групповой сушке и выдержке времена занятости оборудования и трудоёмкость оператора учитываются раздельно. Подготовительно-заключительное время, ремонт и ожидание в эту сумму не входят.</w:t>
      </w:r>
    </w:p>
    <w:p>
      <w:pPr>
        <w:jc w:val="both"/>
      </w:pPr>
      <w:r>
        <w:t>* Код 0320 сохранён по образцу для сопоставления с разделом электрического контроля. Проверка алгоритма и программирование требуют отдельного уточнения кодирования. Наличие кода в таблице не означает подтверждения его нормативной применимости.</w:t>
      </w:r>
    </w:p>
    <w:p>
      <w:pPr>
        <w:pStyle w:val="Heading2"/>
      </w:pPr>
      <w:r>
        <w:t>1.3 Разработка концептуально-абстрактной модели технологического процесса</w:t>
      </w:r>
    </w:p>
    <w:p>
      <w:pPr>
        <w:jc w:val="both"/>
      </w:pPr>
      <w:r>
        <w:t>Концептуально-абстрактная модель представляет основные направления работ и ресурсы. В отличие от электрической схемы она описывает изготовление изделия, а не его функционирование. Для микроконтроллерной ячейки выделено самостоятельное направление подготовки и записи программного обеспечения.</w:t>
      </w:r>
    </w:p>
    <w:p>
      <w:pPr>
        <w:keepNext/>
        <w:ind w:firstLine="0"/>
        <w:jc w:val="center"/>
      </w:pPr>
      <w:r>
        <w:drawing>
          <wp:inline xmlns:a="http://schemas.openxmlformats.org/drawingml/2006/main" xmlns:pic="http://schemas.openxmlformats.org/drawingml/2006/picture">
            <wp:extent cx="5760000" cy="6689568"/>
            <wp:docPr id="4" name="Picture 4"/>
            <wp:cNvGraphicFramePr>
              <a:graphicFrameLocks noChangeAspect="1"/>
            </wp:cNvGraphicFramePr>
            <a:graphic>
              <a:graphicData uri="http://schemas.openxmlformats.org/drawingml/2006/picture">
                <pic:pic>
                  <pic:nvPicPr>
                    <pic:cNvPr id="0" name="mind.png"/>
                    <pic:cNvPicPr/>
                  </pic:nvPicPr>
                  <pic:blipFill>
                    <a:blip r:embed="rId13"/>
                    <a:stretch>
                      <a:fillRect/>
                    </a:stretch>
                  </pic:blipFill>
                  <pic:spPr>
                    <a:xfrm>
                      <a:off x="0" y="0"/>
                      <a:ext cx="5760000" cy="6689568"/>
                    </a:xfrm>
                    <a:prstGeom prst="rect"/>
                  </pic:spPr>
                </pic:pic>
              </a:graphicData>
            </a:graphic>
          </wp:inline>
        </w:drawing>
      </w:r>
    </w:p>
    <w:p>
      <w:pPr>
        <w:ind w:firstLine="0"/>
        <w:jc w:val="center"/>
      </w:pPr>
      <w:r>
        <w:rPr>
          <w:sz w:val="24"/>
        </w:rPr>
        <w:t>Рисунок 1.3.1 — Концептуально-абстрактная модель технологического процесса</w:t>
      </w:r>
    </w:p>
    <w:p>
      <w:pPr>
        <w:keepNext/>
        <w:ind w:firstLine="0"/>
      </w:pPr>
      <w:r>
        <w:t>Таблица 1.3.1 — Спецификация концептуально-абстрактной модели</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pPr>
              <w:spacing w:line="240" w:lineRule="auto" w:after="80"/>
              <w:ind w:firstLine="0"/>
            </w:pPr>
            <w:r>
              <w:rPr>
                <w:sz w:val="22"/>
              </w:rPr>
              <w:t>Понятие</w:t>
            </w:r>
          </w:p>
        </w:tc>
        <w:tc>
          <w:tcPr>
            <w:tcW w:type="dxa" w:w="3118"/>
          </w:tcPr>
          <w:p>
            <w:pPr>
              <w:spacing w:line="240" w:lineRule="auto" w:after="80"/>
              <w:ind w:firstLine="0"/>
            </w:pPr>
            <w:r>
              <w:rPr>
                <w:sz w:val="22"/>
              </w:rPr>
              <w:t>Содержание</w:t>
            </w:r>
          </w:p>
        </w:tc>
        <w:tc>
          <w:tcPr>
            <w:tcW w:type="dxa" w:w="3118"/>
          </w:tcPr>
          <w:p>
            <w:pPr>
              <w:spacing w:line="240" w:lineRule="auto" w:after="80"/>
              <w:ind w:firstLine="0"/>
            </w:pPr>
            <w:r>
              <w:rPr>
                <w:sz w:val="22"/>
              </w:rPr>
              <w:t>Результат</w:t>
            </w:r>
          </w:p>
        </w:tc>
      </w:tr>
      <w:tr>
        <w:tc>
          <w:tcPr>
            <w:tcW w:type="dxa" w:w="3118"/>
          </w:tcPr>
          <w:p>
            <w:pPr>
              <w:spacing w:line="240" w:lineRule="auto" w:after="80"/>
              <w:ind w:firstLine="0"/>
            </w:pPr>
            <w:r>
              <w:rPr>
                <w:sz w:val="22"/>
              </w:rPr>
              <w:t>A1 Подготовить поступившие изделия</w:t>
            </w:r>
          </w:p>
        </w:tc>
        <w:tc>
          <w:tcPr>
            <w:tcW w:type="dxa" w:w="3118"/>
          </w:tcPr>
          <w:p>
            <w:pPr>
              <w:spacing w:line="240" w:lineRule="auto" w:after="80"/>
              <w:ind w:firstLine="0"/>
            </w:pPr>
            <w:r>
              <w:rPr>
                <w:sz w:val="22"/>
              </w:rPr>
              <w:t>Распаковывание; входная проверка</w:t>
            </w:r>
          </w:p>
        </w:tc>
        <w:tc>
          <w:tcPr>
            <w:tcW w:type="dxa" w:w="3118"/>
          </w:tcPr>
          <w:p>
            <w:pPr>
              <w:spacing w:line="240" w:lineRule="auto" w:after="80"/>
              <w:ind w:firstLine="0"/>
            </w:pPr>
            <w:r>
              <w:rPr>
                <w:sz w:val="22"/>
              </w:rPr>
              <w:t>Проверенные плата и компоненты</w:t>
            </w:r>
          </w:p>
        </w:tc>
      </w:tr>
      <w:tr>
        <w:tc>
          <w:tcPr>
            <w:tcW w:type="dxa" w:w="3118"/>
          </w:tcPr>
          <w:p>
            <w:pPr>
              <w:spacing w:line="240" w:lineRule="auto" w:after="80"/>
              <w:ind w:firstLine="0"/>
            </w:pPr>
            <w:r>
              <w:rPr>
                <w:sz w:val="22"/>
              </w:rPr>
              <w:t>A2 Скомплектовать ячейку</w:t>
            </w:r>
          </w:p>
        </w:tc>
        <w:tc>
          <w:tcPr>
            <w:tcW w:type="dxa" w:w="3118"/>
          </w:tcPr>
          <w:p>
            <w:pPr>
              <w:spacing w:line="240" w:lineRule="auto" w:after="80"/>
              <w:ind w:firstLine="0"/>
            </w:pPr>
            <w:r>
              <w:rPr>
                <w:sz w:val="22"/>
              </w:rPr>
              <w:t>Комплектование</w:t>
            </w:r>
          </w:p>
        </w:tc>
        <w:tc>
          <w:tcPr>
            <w:tcW w:type="dxa" w:w="3118"/>
          </w:tcPr>
          <w:p>
            <w:pPr>
              <w:spacing w:line="240" w:lineRule="auto" w:after="80"/>
              <w:ind w:firstLine="0"/>
            </w:pPr>
            <w:r>
              <w:rPr>
                <w:sz w:val="22"/>
              </w:rPr>
              <w:t>Полный комплект</w:t>
            </w:r>
          </w:p>
        </w:tc>
      </w:tr>
      <w:tr>
        <w:tc>
          <w:tcPr>
            <w:tcW w:type="dxa" w:w="3118"/>
          </w:tcPr>
          <w:p>
            <w:pPr>
              <w:spacing w:line="240" w:lineRule="auto" w:after="80"/>
              <w:ind w:firstLine="0"/>
            </w:pPr>
            <w:r>
              <w:rPr>
                <w:sz w:val="22"/>
              </w:rPr>
              <w:t>A3 Установить компоненты</w:t>
            </w:r>
          </w:p>
        </w:tc>
        <w:tc>
          <w:tcPr>
            <w:tcW w:type="dxa" w:w="3118"/>
          </w:tcPr>
          <w:p>
            <w:pPr>
              <w:spacing w:line="240" w:lineRule="auto" w:after="80"/>
              <w:ind w:firstLine="0"/>
            </w:pPr>
            <w:r>
              <w:rPr>
                <w:sz w:val="22"/>
              </w:rPr>
              <w:t>Монтаж КМО</w:t>
            </w:r>
          </w:p>
        </w:tc>
        <w:tc>
          <w:tcPr>
            <w:tcW w:type="dxa" w:w="3118"/>
          </w:tcPr>
          <w:p>
            <w:pPr>
              <w:spacing w:line="240" w:lineRule="auto" w:after="80"/>
              <w:ind w:firstLine="0"/>
            </w:pPr>
            <w:r>
              <w:rPr>
                <w:sz w:val="22"/>
              </w:rPr>
              <w:t>Плата с установленными компонентами</w:t>
            </w:r>
          </w:p>
        </w:tc>
      </w:tr>
      <w:tr>
        <w:tc>
          <w:tcPr>
            <w:tcW w:type="dxa" w:w="3118"/>
          </w:tcPr>
          <w:p>
            <w:pPr>
              <w:spacing w:line="240" w:lineRule="auto" w:after="80"/>
              <w:ind w:firstLine="0"/>
            </w:pPr>
            <w:r>
              <w:rPr>
                <w:sz w:val="22"/>
              </w:rPr>
              <w:t>A4 Нанести флюс</w:t>
            </w:r>
          </w:p>
        </w:tc>
        <w:tc>
          <w:tcPr>
            <w:tcW w:type="dxa" w:w="3118"/>
          </w:tcPr>
          <w:p>
            <w:pPr>
              <w:spacing w:line="240" w:lineRule="auto" w:after="80"/>
              <w:ind w:firstLine="0"/>
            </w:pPr>
            <w:r>
              <w:rPr>
                <w:sz w:val="22"/>
              </w:rPr>
              <w:t>Флюсование</w:t>
            </w:r>
          </w:p>
        </w:tc>
        <w:tc>
          <w:tcPr>
            <w:tcW w:type="dxa" w:w="3118"/>
          </w:tcPr>
          <w:p>
            <w:pPr>
              <w:spacing w:line="240" w:lineRule="auto" w:after="80"/>
              <w:ind w:firstLine="0"/>
            </w:pPr>
            <w:r>
              <w:rPr>
                <w:sz w:val="22"/>
              </w:rPr>
              <w:t>Флюсованные соединения</w:t>
            </w:r>
          </w:p>
        </w:tc>
      </w:tr>
      <w:tr>
        <w:tc>
          <w:tcPr>
            <w:tcW w:type="dxa" w:w="3118"/>
          </w:tcPr>
          <w:p>
            <w:pPr>
              <w:spacing w:line="240" w:lineRule="auto" w:after="80"/>
              <w:ind w:firstLine="0"/>
            </w:pPr>
            <w:r>
              <w:rPr>
                <w:sz w:val="22"/>
              </w:rPr>
              <w:t>A5 Выполнить пайку</w:t>
            </w:r>
          </w:p>
        </w:tc>
        <w:tc>
          <w:tcPr>
            <w:tcW w:type="dxa" w:w="3118"/>
          </w:tcPr>
          <w:p>
            <w:pPr>
              <w:spacing w:line="240" w:lineRule="auto" w:after="80"/>
              <w:ind w:firstLine="0"/>
            </w:pPr>
            <w:r>
              <w:rPr>
                <w:sz w:val="22"/>
              </w:rPr>
              <w:t>Пайка паяльником</w:t>
            </w:r>
          </w:p>
        </w:tc>
        <w:tc>
          <w:tcPr>
            <w:tcW w:type="dxa" w:w="3118"/>
          </w:tcPr>
          <w:p>
            <w:pPr>
              <w:spacing w:line="240" w:lineRule="auto" w:after="80"/>
              <w:ind w:firstLine="0"/>
            </w:pPr>
            <w:r>
              <w:rPr>
                <w:sz w:val="22"/>
              </w:rPr>
              <w:t>Спаянная ячейка</w:t>
            </w:r>
          </w:p>
        </w:tc>
      </w:tr>
      <w:tr>
        <w:tc>
          <w:tcPr>
            <w:tcW w:type="dxa" w:w="3118"/>
          </w:tcPr>
          <w:p>
            <w:pPr>
              <w:spacing w:line="240" w:lineRule="auto" w:after="80"/>
              <w:ind w:firstLine="0"/>
            </w:pPr>
            <w:r>
              <w:rPr>
                <w:sz w:val="22"/>
              </w:rPr>
              <w:t>A6 Очистить и высушить</w:t>
            </w:r>
          </w:p>
        </w:tc>
        <w:tc>
          <w:tcPr>
            <w:tcW w:type="dxa" w:w="3118"/>
          </w:tcPr>
          <w:p>
            <w:pPr>
              <w:spacing w:line="240" w:lineRule="auto" w:after="80"/>
              <w:ind w:firstLine="0"/>
            </w:pPr>
            <w:r>
              <w:rPr>
                <w:sz w:val="22"/>
              </w:rPr>
              <w:t>Промывка; сушка</w:t>
            </w:r>
          </w:p>
        </w:tc>
        <w:tc>
          <w:tcPr>
            <w:tcW w:type="dxa" w:w="3118"/>
          </w:tcPr>
          <w:p>
            <w:pPr>
              <w:spacing w:line="240" w:lineRule="auto" w:after="80"/>
              <w:ind w:firstLine="0"/>
            </w:pPr>
            <w:r>
              <w:rPr>
                <w:sz w:val="22"/>
              </w:rPr>
              <w:t>Чистая сухая ячейка</w:t>
            </w:r>
          </w:p>
        </w:tc>
      </w:tr>
      <w:tr>
        <w:tc>
          <w:tcPr>
            <w:tcW w:type="dxa" w:w="3118"/>
          </w:tcPr>
          <w:p>
            <w:pPr>
              <w:spacing w:line="240" w:lineRule="auto" w:after="80"/>
              <w:ind w:firstLine="0"/>
            </w:pPr>
            <w:r>
              <w:rPr>
                <w:sz w:val="22"/>
              </w:rPr>
              <w:t>A7 Запрограммировать DD1</w:t>
            </w:r>
          </w:p>
        </w:tc>
        <w:tc>
          <w:tcPr>
            <w:tcW w:type="dxa" w:w="3118"/>
          </w:tcPr>
          <w:p>
            <w:pPr>
              <w:spacing w:line="240" w:lineRule="auto" w:after="80"/>
              <w:ind w:firstLine="0"/>
            </w:pPr>
            <w:r>
              <w:rPr>
                <w:sz w:val="22"/>
              </w:rPr>
              <w:t>Запись; чтение; верификация</w:t>
            </w:r>
          </w:p>
        </w:tc>
        <w:tc>
          <w:tcPr>
            <w:tcW w:type="dxa" w:w="3118"/>
          </w:tcPr>
          <w:p>
            <w:pPr>
              <w:spacing w:line="240" w:lineRule="auto" w:after="80"/>
              <w:ind w:firstLine="0"/>
            </w:pPr>
            <w:r>
              <w:rPr>
                <w:sz w:val="22"/>
              </w:rPr>
              <w:t>Верифицированная запись ПО</w:t>
            </w:r>
          </w:p>
        </w:tc>
      </w:tr>
      <w:tr>
        <w:tc>
          <w:tcPr>
            <w:tcW w:type="dxa" w:w="3118"/>
          </w:tcPr>
          <w:p>
            <w:pPr>
              <w:spacing w:line="240" w:lineRule="auto" w:after="80"/>
              <w:ind w:firstLine="0"/>
            </w:pPr>
            <w:r>
              <w:rPr>
                <w:sz w:val="22"/>
              </w:rPr>
              <w:t>A8 Проконтролировать ячейку</w:t>
            </w:r>
          </w:p>
        </w:tc>
        <w:tc>
          <w:tcPr>
            <w:tcW w:type="dxa" w:w="3118"/>
          </w:tcPr>
          <w:p>
            <w:pPr>
              <w:spacing w:line="240" w:lineRule="auto" w:after="80"/>
              <w:ind w:firstLine="0"/>
            </w:pPr>
            <w:r>
              <w:rPr>
                <w:sz w:val="22"/>
              </w:rPr>
              <w:t>Визуальный и функциональный контроль</w:t>
            </w:r>
          </w:p>
        </w:tc>
        <w:tc>
          <w:tcPr>
            <w:tcW w:type="dxa" w:w="3118"/>
          </w:tcPr>
          <w:p>
            <w:pPr>
              <w:spacing w:line="240" w:lineRule="auto" w:after="80"/>
              <w:ind w:firstLine="0"/>
            </w:pPr>
            <w:r>
              <w:rPr>
                <w:sz w:val="22"/>
              </w:rPr>
              <w:t>Заключение о соответствии</w:t>
            </w:r>
          </w:p>
        </w:tc>
      </w:tr>
      <w:tr>
        <w:tc>
          <w:tcPr>
            <w:tcW w:type="dxa" w:w="3118"/>
          </w:tcPr>
          <w:p>
            <w:pPr>
              <w:spacing w:line="240" w:lineRule="auto" w:after="80"/>
              <w:ind w:firstLine="0"/>
            </w:pPr>
            <w:r>
              <w:rPr>
                <w:sz w:val="22"/>
              </w:rPr>
              <w:t>A9 Защитить и принять изделие</w:t>
            </w:r>
          </w:p>
        </w:tc>
        <w:tc>
          <w:tcPr>
            <w:tcW w:type="dxa" w:w="3118"/>
          </w:tcPr>
          <w:p>
            <w:pPr>
              <w:spacing w:line="240" w:lineRule="auto" w:after="80"/>
              <w:ind w:firstLine="0"/>
            </w:pPr>
            <w:r>
              <w:rPr>
                <w:sz w:val="22"/>
              </w:rPr>
              <w:t>Лакирование; выдержка; приёмка</w:t>
            </w:r>
          </w:p>
        </w:tc>
        <w:tc>
          <w:tcPr>
            <w:tcW w:type="dxa" w:w="3118"/>
          </w:tcPr>
          <w:p>
            <w:pPr>
              <w:spacing w:line="240" w:lineRule="auto" w:after="80"/>
              <w:ind w:firstLine="0"/>
            </w:pPr>
            <w:r>
              <w:rPr>
                <w:sz w:val="22"/>
              </w:rPr>
              <w:t>Защищённое и принятое изделие</w:t>
            </w:r>
          </w:p>
        </w:tc>
      </w:tr>
    </w:tbl>
    <w:p>
      <w:pPr>
        <w:spacing w:after="0"/>
      </w:pPr>
    </w:p>
    <w:p>
      <w:pPr>
        <w:pStyle w:val="Heading2"/>
      </w:pPr>
      <w:r>
        <w:t>1.4 Разработка контекстной диаграммы технологического процесса</w:t>
      </w:r>
    </w:p>
    <w:p>
      <w:pPr>
        <w:jc w:val="both"/>
      </w:pPr>
      <w:r>
        <w:t>Контекстная диаграмма A−0 в нотации IDEF0 задаёт границы моделирования. Слева располагаются преобразуемые входы, справа — выходы, сверху — управляющие воздействия, снизу — механизмы выполнения. Расходные материалы относятся к входам, поскольку расходуются при изготовлении. Файл утверждённой прошивки рассматривается как управляющее воздействие, определяющее содержание записи в DD1.</w:t>
      </w:r>
    </w:p>
    <w:p>
      <w:pPr>
        <w:keepNext/>
        <w:ind w:firstLine="0"/>
        <w:jc w:val="center"/>
      </w:pPr>
      <w:r>
        <w:drawing>
          <wp:inline xmlns:a="http://schemas.openxmlformats.org/drawingml/2006/main" xmlns:pic="http://schemas.openxmlformats.org/drawingml/2006/picture">
            <wp:extent cx="5760000" cy="2621712"/>
            <wp:docPr id="5" name="Picture 5"/>
            <wp:cNvGraphicFramePr>
              <a:graphicFrameLocks noChangeAspect="1"/>
            </wp:cNvGraphicFramePr>
            <a:graphic>
              <a:graphicData uri="http://schemas.openxmlformats.org/drawingml/2006/picture">
                <pic:pic>
                  <pic:nvPicPr>
                    <pic:cNvPr id="0" name="context.png"/>
                    <pic:cNvPicPr/>
                  </pic:nvPicPr>
                  <pic:blipFill>
                    <a:blip r:embed="rId14"/>
                    <a:stretch>
                      <a:fillRect/>
                    </a:stretch>
                  </pic:blipFill>
                  <pic:spPr>
                    <a:xfrm>
                      <a:off x="0" y="0"/>
                      <a:ext cx="5760000" cy="2621712"/>
                    </a:xfrm>
                    <a:prstGeom prst="rect"/>
                  </pic:spPr>
                </pic:pic>
              </a:graphicData>
            </a:graphic>
          </wp:inline>
        </w:drawing>
      </w:r>
    </w:p>
    <w:p>
      <w:pPr>
        <w:ind w:firstLine="0"/>
        <w:jc w:val="center"/>
      </w:pPr>
      <w:r>
        <w:rPr>
          <w:sz w:val="24"/>
        </w:rPr>
        <w:t>Рисунок 1.4.1 — Контекстная диаграмма A−0 в нотации IDEF0</w:t>
      </w:r>
    </w:p>
    <w:p>
      <w:pPr>
        <w:keepNext/>
        <w:ind w:firstLine="0"/>
      </w:pPr>
      <w:r>
        <w:t>Таблица 1.4.1 — Спецификация контекстной диаграммы</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Готовая печатная плата; 13 компонентов; расходные материалы</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Принятая ячейка; протокол контроля; отделённые несоответствующие изделия; отходы</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КД; ТЗ; производственное задание; утверждённые HEX и настройки; инструкции по пайке, очистке, покрытию</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контролёр; программатор; ПК; паяльная станция; измерительное оборудование; оснастка</w:t>
            </w:r>
          </w:p>
        </w:tc>
      </w:tr>
    </w:tbl>
    <w:p>
      <w:pPr>
        <w:spacing w:after="0"/>
      </w:pPr>
    </w:p>
    <w:p>
      <w:pPr>
        <w:pStyle w:val="Heading2"/>
      </w:pPr>
      <w:r>
        <w:t>1.5 Декомпозиция работы «Изготовить электронную ячейку «Светофор»»</w:t>
      </w:r>
    </w:p>
    <w:p>
      <w:pPr>
        <w:jc w:val="both"/>
      </w:pPr>
      <w:r>
        <w:t>На диаграмме A0 выделено девять работ. Межоперационные потоки обозначают состояние изделия после преобразования. Контроль имеет два результата: соответствие требованиям и выявленные несоответствия. Возврат на исправление допускается по решению ответственного специалиста; повторный контроль после исправления обязателен. Несоответствующее изделие не считается окончательным браком до принятия решения о возможности доработки.</w:t>
      </w:r>
    </w:p>
    <w:p>
      <w:pPr>
        <w:keepNext/>
        <w:ind w:firstLine="0"/>
        <w:jc w:val="center"/>
      </w:pPr>
      <w:r>
        <w:drawing>
          <wp:inline xmlns:a="http://schemas.openxmlformats.org/drawingml/2006/main" xmlns:pic="http://schemas.openxmlformats.org/drawingml/2006/picture">
            <wp:extent cx="5234117" cy="7739999"/>
            <wp:docPr id="6" name="Picture 6"/>
            <wp:cNvGraphicFramePr>
              <a:graphicFrameLocks noChangeAspect="1"/>
            </wp:cNvGraphicFramePr>
            <a:graphic>
              <a:graphicData uri="http://schemas.openxmlformats.org/drawingml/2006/picture">
                <pic:pic>
                  <pic:nvPicPr>
                    <pic:cNvPr id="0" name="a0.png"/>
                    <pic:cNvPicPr/>
                  </pic:nvPicPr>
                  <pic:blipFill>
                    <a:blip r:embed="rId15"/>
                    <a:stretch>
                      <a:fillRect/>
                    </a:stretch>
                  </pic:blipFill>
                  <pic:spPr>
                    <a:xfrm>
                      <a:off x="0" y="0"/>
                      <a:ext cx="5234117" cy="7739999"/>
                    </a:xfrm>
                    <a:prstGeom prst="rect"/>
                  </pic:spPr>
                </pic:pic>
              </a:graphicData>
            </a:graphic>
          </wp:inline>
        </w:drawing>
      </w:r>
    </w:p>
    <w:p>
      <w:pPr>
        <w:ind w:firstLine="0"/>
        <w:jc w:val="center"/>
      </w:pPr>
      <w:r>
        <w:rPr>
          <w:sz w:val="24"/>
        </w:rPr>
        <w:t>Рисунок 1.5.1 — Декомпозиция A0 в нотации IDEF0; отклонения и исправления описаны в спецификациях</w:t>
      </w:r>
    </w:p>
    <w:p>
      <w:pPr>
        <w:keepNext/>
        <w:ind w:firstLine="0"/>
      </w:pPr>
      <w:r>
        <w:t>Таблица 1.5.1 — Спецификация работы A1 «Подготовить поступившие изделия»</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Плата и компоненты в упаковке</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Проверенные изделия; отделённые несоответствия</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СП; требования к входной проверке</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стол; ESD-оснащение</w:t>
            </w:r>
          </w:p>
        </w:tc>
      </w:tr>
    </w:tbl>
    <w:p>
      <w:pPr>
        <w:spacing w:after="0"/>
      </w:pPr>
    </w:p>
    <w:p>
      <w:pPr>
        <w:keepNext/>
        <w:ind w:firstLine="0"/>
      </w:pPr>
      <w:r>
        <w:t>Таблица 1.5.2 — Спецификация работы A2 «Скомплектовать ячейку»</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Проверенные плата и компоненты</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Комплект на одну ячейку; сообщение о недостаче</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СП; ПЭ3; комплектовочная ведомость</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Комплектовщик; маркированная тара</w:t>
            </w:r>
          </w:p>
        </w:tc>
      </w:tr>
    </w:tbl>
    <w:p>
      <w:pPr>
        <w:spacing w:after="0"/>
      </w:pPr>
    </w:p>
    <w:p>
      <w:pPr>
        <w:keepNext/>
        <w:ind w:firstLine="0"/>
      </w:pPr>
      <w:r>
        <w:t>Таблица 1.5.3 — Спецификация работы A3 «Установить компоненты»</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Комплект на одну ячейку</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Плата с установленными компонентами</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СБ; Э3; варианты установки</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инструмент; держатель</w:t>
            </w:r>
          </w:p>
        </w:tc>
      </w:tr>
    </w:tbl>
    <w:p>
      <w:pPr>
        <w:spacing w:after="0"/>
      </w:pPr>
    </w:p>
    <w:p>
      <w:pPr>
        <w:keepNext/>
        <w:ind w:firstLine="0"/>
      </w:pPr>
      <w:r>
        <w:t>Таблица 1.5.4 — Спецификация работы A4 «Нанести флюс»</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Смонтированная плата; флюс</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Плата с флюсованными местами соединений</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Инструкция по флюсованию; СБ</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дозатор; вытяжка</w:t>
            </w:r>
          </w:p>
        </w:tc>
      </w:tr>
    </w:tbl>
    <w:p>
      <w:pPr>
        <w:spacing w:after="0"/>
      </w:pPr>
    </w:p>
    <w:p>
      <w:pPr>
        <w:keepNext/>
        <w:ind w:firstLine="0"/>
      </w:pPr>
      <w:r>
        <w:t>Таблица 1.5.5 — Спецификация работы A5 «Выполнить пайку»</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Флюсованная плата; припой</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Спаянная плата; технологические отходы</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СБ; режим пайки; требования к соединениям</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паяльная станция; вытяжка</w:t>
            </w:r>
          </w:p>
        </w:tc>
      </w:tr>
    </w:tbl>
    <w:p>
      <w:pPr>
        <w:spacing w:after="0"/>
      </w:pPr>
    </w:p>
    <w:p>
      <w:pPr>
        <w:keepNext/>
        <w:ind w:firstLine="0"/>
      </w:pPr>
      <w:r>
        <w:t>Таблица 1.5.6 — Спецификация работы A6 «Очистить и высушить»</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Спаянная плата; очищающий состав</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Чистая сухая плата; загрязнённый состав</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Инструкция по очистке и сушке; совместимость материалов</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Оператор; установка очистки; сушильное оборудование</w:t>
            </w:r>
          </w:p>
        </w:tc>
      </w:tr>
    </w:tbl>
    <w:p>
      <w:pPr>
        <w:spacing w:after="0"/>
      </w:pPr>
    </w:p>
    <w:p>
      <w:pPr>
        <w:keepNext/>
        <w:ind w:firstLine="0"/>
      </w:pPr>
      <w:r>
        <w:t>Таблица 1.5.7 — Спецификация работы A7 «Запрограммировать DD1»</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Чистая сухая плата</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Ячейка с записанным ПО; отчёт верификации; сообщение об ошибке</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Утверждённый HEX; карта программирования; проверенные настройки тактирования</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Оператор; ПК; AVR-программатор; адаптер</w:t>
            </w:r>
          </w:p>
        </w:tc>
      </w:tr>
    </w:tbl>
    <w:p>
      <w:pPr>
        <w:spacing w:after="0"/>
      </w:pPr>
    </w:p>
    <w:p>
      <w:pPr>
        <w:keepNext/>
        <w:ind w:firstLine="0"/>
      </w:pPr>
      <w:r>
        <w:t>Таблица 1.5.8 — Спецификация работы A8 «Проконтролировать ячейку»</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Ячейка с ПО; результаты измерений</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Годная для покрытия ячейка; протокол; несоответствия</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ТЗ; Э3; СБ; программа испытаний</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Контролёр; микроскоп; источник питания; приборы</w:t>
            </w:r>
          </w:p>
        </w:tc>
      </w:tr>
    </w:tbl>
    <w:p>
      <w:pPr>
        <w:spacing w:after="0"/>
      </w:pPr>
    </w:p>
    <w:p>
      <w:pPr>
        <w:keepNext/>
        <w:ind w:firstLine="0"/>
      </w:pPr>
      <w:r>
        <w:t>Таблица 1.5.9 — Спецификация работы A9 «Защитить и принять изделие»</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Ячейка после контроля; лак; материалы маскирования</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Защищённая принятая ячейка; окончательный протокол; несоответствия</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СБ; инструкция на КО-921; правила приёмки</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контролёр; вытяжка; оснащение выдержки</w:t>
            </w:r>
          </w:p>
        </w:tc>
      </w:tr>
    </w:tbl>
    <w:p>
      <w:pPr>
        <w:spacing w:after="0"/>
      </w:pPr>
    </w:p>
    <w:p>
      <w:pPr>
        <w:pStyle w:val="Heading2"/>
      </w:pPr>
      <w:r>
        <w:t>1.6 Декомпозиция работы «Подготовка поступивших изделий»</w:t>
      </w:r>
    </w:p>
    <w:p>
      <w:pPr>
        <w:jc w:val="both"/>
      </w:pPr>
      <w:r>
        <w:t>При распаковывании исключают повреждение выводов, платы и корпусов. Проверяют маркировку, отсутствие механических дефектов, целостность проводников и отверстий платы. Компоненты, не соответствующие СП, изолируют от годных и оформляют извещение. Для DD1 применяют антистатические меры.</w:t>
      </w:r>
    </w:p>
    <w:p>
      <w:pPr>
        <w:keepNext/>
        <w:ind w:firstLine="0"/>
        <w:jc w:val="center"/>
      </w:pPr>
      <w:r>
        <w:drawing>
          <wp:inline xmlns:a="http://schemas.openxmlformats.org/drawingml/2006/main" xmlns:pic="http://schemas.openxmlformats.org/drawingml/2006/picture">
            <wp:extent cx="5760000" cy="3588833"/>
            <wp:docPr id="7" name="Picture 7"/>
            <wp:cNvGraphicFramePr>
              <a:graphicFrameLocks noChangeAspect="1"/>
            </wp:cNvGraphicFramePr>
            <a:graphic>
              <a:graphicData uri="http://schemas.openxmlformats.org/drawingml/2006/picture">
                <pic:pic>
                  <pic:nvPicPr>
                    <pic:cNvPr id="0" name="section_1.6.png"/>
                    <pic:cNvPicPr/>
                  </pic:nvPicPr>
                  <pic:blipFill>
                    <a:blip r:embed="rId16"/>
                    <a:stretch>
                      <a:fillRect/>
                    </a:stretch>
                  </pic:blipFill>
                  <pic:spPr>
                    <a:xfrm>
                      <a:off x="0" y="0"/>
                      <a:ext cx="5760000" cy="3588833"/>
                    </a:xfrm>
                    <a:prstGeom prst="rect"/>
                  </pic:spPr>
                </pic:pic>
              </a:graphicData>
            </a:graphic>
          </wp:inline>
        </w:drawing>
      </w:r>
    </w:p>
    <w:p>
      <w:pPr>
        <w:ind w:firstLine="0"/>
        <w:jc w:val="center"/>
      </w:pPr>
      <w:r>
        <w:rPr>
          <w:sz w:val="24"/>
        </w:rPr>
        <w:t>Рисунок 1.6.1 — Декомпозиция работы «Подготовка поступивших изделий» в нотации IDEF0</w:t>
      </w:r>
    </w:p>
    <w:p>
      <w:pPr>
        <w:keepNext/>
        <w:ind w:firstLine="0"/>
      </w:pPr>
      <w:r>
        <w:t>Таблица 1.6.1 — Спецификация работы A11 «Распаковать»</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Плата и компоненты в упаковке</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Распакованные плата и компоненты</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СП; требования к входной проверке</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стол; ESD-оснащение</w:t>
            </w:r>
          </w:p>
        </w:tc>
      </w:tr>
    </w:tbl>
    <w:p>
      <w:pPr>
        <w:spacing w:after="0"/>
      </w:pPr>
    </w:p>
    <w:p>
      <w:pPr>
        <w:keepNext/>
        <w:ind w:firstLine="0"/>
      </w:pPr>
      <w:r>
        <w:t>Таблица 1.6.2 — Спецификация работы A12 «Выполнить входную проверку»</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Распакованные плата и компоненты</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Проверенные изделия; отделённые несоответствия</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СП; требования к входной проверке</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стол; ESD-оснащение</w:t>
            </w:r>
          </w:p>
        </w:tc>
      </w:tr>
    </w:tbl>
    <w:p>
      <w:pPr>
        <w:spacing w:after="0"/>
      </w:pPr>
    </w:p>
    <w:p>
      <w:pPr>
        <w:pStyle w:val="Heading2"/>
      </w:pPr>
      <w:r>
        <w:t>1.7 Декомпозиция работы «Комплектование»</w:t>
      </w:r>
    </w:p>
    <w:p>
      <w:pPr>
        <w:jc w:val="both"/>
      </w:pPr>
      <w:r>
        <w:t>На одну ячейку подбирают одну плату и 13 компонентов. Проверяют номиналы четырёх резисторов, наличие трёх конденсаторов и трёх светодиодов требуемых цветов. Для SB1 сверяют исполнение с посадочным местом, поскольку СП и ПЭ3 содержат разные наименования кнопки. При недостаче комплект на монтаж не передают.</w:t>
      </w:r>
    </w:p>
    <w:p>
      <w:pPr>
        <w:keepNext/>
        <w:ind w:firstLine="0"/>
        <w:jc w:val="center"/>
      </w:pPr>
      <w:r>
        <w:drawing>
          <wp:inline xmlns:a="http://schemas.openxmlformats.org/drawingml/2006/main" xmlns:pic="http://schemas.openxmlformats.org/drawingml/2006/picture">
            <wp:extent cx="5760000" cy="3588833"/>
            <wp:docPr id="8" name="Picture 8"/>
            <wp:cNvGraphicFramePr>
              <a:graphicFrameLocks noChangeAspect="1"/>
            </wp:cNvGraphicFramePr>
            <a:graphic>
              <a:graphicData uri="http://schemas.openxmlformats.org/drawingml/2006/picture">
                <pic:pic>
                  <pic:nvPicPr>
                    <pic:cNvPr id="0" name="section_1.7.png"/>
                    <pic:cNvPicPr/>
                  </pic:nvPicPr>
                  <pic:blipFill>
                    <a:blip r:embed="rId17"/>
                    <a:stretch>
                      <a:fillRect/>
                    </a:stretch>
                  </pic:blipFill>
                  <pic:spPr>
                    <a:xfrm>
                      <a:off x="0" y="0"/>
                      <a:ext cx="5760000" cy="3588833"/>
                    </a:xfrm>
                    <a:prstGeom prst="rect"/>
                  </pic:spPr>
                </pic:pic>
              </a:graphicData>
            </a:graphic>
          </wp:inline>
        </w:drawing>
      </w:r>
    </w:p>
    <w:p>
      <w:pPr>
        <w:ind w:firstLine="0"/>
        <w:jc w:val="center"/>
      </w:pPr>
      <w:r>
        <w:rPr>
          <w:sz w:val="24"/>
        </w:rPr>
        <w:t>Рисунок 1.7.1 — Декомпозиция работы «Комплектование» в нотации IDEF0</w:t>
      </w:r>
    </w:p>
    <w:p>
      <w:pPr>
        <w:keepNext/>
        <w:ind w:firstLine="0"/>
      </w:pPr>
      <w:r>
        <w:t>Таблица 1.7.1 — Спецификация работы A21 «Подобрать комплект по СП»</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Проверенные плата и компоненты</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Подобранный комплект</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СП; ПЭ3; комплектовочная ведомость</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Комплектовщик; маркированная тара</w:t>
            </w:r>
          </w:p>
        </w:tc>
      </w:tr>
    </w:tbl>
    <w:p>
      <w:pPr>
        <w:spacing w:after="0"/>
      </w:pPr>
    </w:p>
    <w:p>
      <w:pPr>
        <w:keepNext/>
        <w:ind w:firstLine="0"/>
      </w:pPr>
      <w:r>
        <w:t>Таблица 1.7.2 — Спецификация работы A22 «Проверить комплектность»</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Подобранный комплект</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Комплект на одну ячейку; сообщение о недостаче</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СП; ПЭ3; комплектовочная ведомость</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Комплектовщик; маркированная тара</w:t>
            </w:r>
          </w:p>
        </w:tc>
      </w:tr>
    </w:tbl>
    <w:p>
      <w:pPr>
        <w:spacing w:after="0"/>
      </w:pPr>
    </w:p>
    <w:p>
      <w:pPr>
        <w:pStyle w:val="Heading2"/>
      </w:pPr>
      <w:r>
        <w:t>1.8 Декомпозиция работы «Сборка и монтаж КМО»</w:t>
      </w:r>
    </w:p>
    <w:p>
      <w:pPr>
        <w:jc w:val="both"/>
      </w:pPr>
      <w:r>
        <w:t>Выводы формуют без передачи усилия на корпус. Компоненты устанавливают по сборочному чертежу, учитывая ключ DD1, полярность светодиодов и ориентацию клеммника. Последовательность выбирают с учётом доступности мест установки и высоты корпусов. Перед пайкой проверяют отсутствие пропусков и ошибочных установок.</w:t>
      </w:r>
    </w:p>
    <w:p>
      <w:pPr>
        <w:keepNext/>
        <w:ind w:firstLine="0"/>
        <w:jc w:val="center"/>
      </w:pPr>
      <w:r>
        <w:drawing>
          <wp:inline xmlns:a="http://schemas.openxmlformats.org/drawingml/2006/main" xmlns:pic="http://schemas.openxmlformats.org/drawingml/2006/picture">
            <wp:extent cx="5760000" cy="2621712"/>
            <wp:docPr id="9" name="Picture 9"/>
            <wp:cNvGraphicFramePr>
              <a:graphicFrameLocks noChangeAspect="1"/>
            </wp:cNvGraphicFramePr>
            <a:graphic>
              <a:graphicData uri="http://schemas.openxmlformats.org/drawingml/2006/picture">
                <pic:pic>
                  <pic:nvPicPr>
                    <pic:cNvPr id="0" name="section_1.8.png"/>
                    <pic:cNvPicPr/>
                  </pic:nvPicPr>
                  <pic:blipFill>
                    <a:blip r:embed="rId18"/>
                    <a:stretch>
                      <a:fillRect/>
                    </a:stretch>
                  </pic:blipFill>
                  <pic:spPr>
                    <a:xfrm>
                      <a:off x="0" y="0"/>
                      <a:ext cx="5760000" cy="2621712"/>
                    </a:xfrm>
                    <a:prstGeom prst="rect"/>
                  </pic:spPr>
                </pic:pic>
              </a:graphicData>
            </a:graphic>
          </wp:inline>
        </w:drawing>
      </w:r>
    </w:p>
    <w:p>
      <w:pPr>
        <w:ind w:firstLine="0"/>
        <w:jc w:val="center"/>
      </w:pPr>
      <w:r>
        <w:rPr>
          <w:sz w:val="24"/>
        </w:rPr>
        <w:t>Рисунок 1.8.1 — Декомпозиция работы «Сборка и монтаж КМО» в нотации IDEF0</w:t>
      </w:r>
    </w:p>
    <w:p>
      <w:pPr>
        <w:keepNext/>
        <w:ind w:firstLine="0"/>
      </w:pPr>
      <w:r>
        <w:t>Таблица 1.8.1 — Спецификация работы A31</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Комплект на одну ячейку</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Плата с установленными компонентами</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СБ; Э3; варианты установки</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инструмент; держатель</w:t>
            </w:r>
          </w:p>
        </w:tc>
      </w:tr>
    </w:tbl>
    <w:p>
      <w:pPr>
        <w:spacing w:after="0"/>
      </w:pPr>
    </w:p>
    <w:p>
      <w:pPr>
        <w:pStyle w:val="Heading3"/>
      </w:pPr>
      <w:r>
        <w:t>1.8.1 Декомпозиция монтажа КМО в нотации IDEF3</w:t>
      </w:r>
    </w:p>
    <w:p>
      <w:pPr>
        <w:jc w:val="both"/>
      </w:pPr>
      <w:r>
        <w:t>Диаграмма описывает переходы монтажа для каждого компонента. Исключающее ветвление X1 направляет плату на исправление при обнаружении дефекта. Узел X2 определяет необходимость повторения цикла для следующего компонента. После установки всех компонентов плата фиксируется для флюсования и пайки.</w:t>
      </w:r>
    </w:p>
    <w:p>
      <w:pPr>
        <w:keepNext/>
        <w:ind w:firstLine="0"/>
        <w:jc w:val="center"/>
      </w:pPr>
      <w:r>
        <w:drawing>
          <wp:inline xmlns:a="http://schemas.openxmlformats.org/drawingml/2006/main" xmlns:pic="http://schemas.openxmlformats.org/drawingml/2006/picture">
            <wp:extent cx="4621806" cy="7739999"/>
            <wp:docPr id="10" name="Picture 10"/>
            <wp:cNvGraphicFramePr>
              <a:graphicFrameLocks noChangeAspect="1"/>
            </wp:cNvGraphicFramePr>
            <a:graphic>
              <a:graphicData uri="http://schemas.openxmlformats.org/drawingml/2006/picture">
                <pic:pic>
                  <pic:nvPicPr>
                    <pic:cNvPr id="0" name="idef3_mount.png"/>
                    <pic:cNvPicPr/>
                  </pic:nvPicPr>
                  <pic:blipFill>
                    <a:blip r:embed="rId19"/>
                    <a:stretch>
                      <a:fillRect/>
                    </a:stretch>
                  </pic:blipFill>
                  <pic:spPr>
                    <a:xfrm>
                      <a:off x="0" y="0"/>
                      <a:ext cx="4621806" cy="7739999"/>
                    </a:xfrm>
                    <a:prstGeom prst="rect"/>
                  </pic:spPr>
                </pic:pic>
              </a:graphicData>
            </a:graphic>
          </wp:inline>
        </w:drawing>
      </w:r>
    </w:p>
    <w:p>
      <w:pPr>
        <w:ind w:firstLine="0"/>
        <w:jc w:val="center"/>
      </w:pPr>
      <w:r>
        <w:rPr>
          <w:sz w:val="24"/>
        </w:rPr>
        <w:t>Рисунок 1.8.2 — Сценарий монтажа КМО в нотации IDEF3</w:t>
      </w:r>
    </w:p>
    <w:p>
      <w:pPr>
        <w:keepNext/>
        <w:ind w:firstLine="0"/>
      </w:pPr>
      <w:r>
        <w:t>Таблица 1.8.2 — Спецификация переходов монтажа</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Переход</w:t>
            </w:r>
          </w:p>
        </w:tc>
        <w:tc>
          <w:tcPr>
            <w:tcW w:type="dxa" w:w="4677"/>
          </w:tcPr>
          <w:p>
            <w:pPr>
              <w:spacing w:line="240" w:lineRule="auto" w:after="80"/>
              <w:ind w:firstLine="0"/>
            </w:pPr>
            <w:r>
              <w:rPr>
                <w:sz w:val="22"/>
              </w:rPr>
              <w:t>Условие и результат</w:t>
            </w:r>
          </w:p>
        </w:tc>
      </w:tr>
      <w:tr>
        <w:tc>
          <w:tcPr>
            <w:tcW w:type="dxa" w:w="4677"/>
          </w:tcPr>
          <w:p>
            <w:pPr>
              <w:spacing w:line="240" w:lineRule="auto" w:after="80"/>
              <w:ind w:firstLine="0"/>
            </w:pPr>
            <w:r>
              <w:rPr>
                <w:sz w:val="22"/>
              </w:rPr>
              <w:t>Подбор</w:t>
            </w:r>
          </w:p>
        </w:tc>
        <w:tc>
          <w:tcPr>
            <w:tcW w:type="dxa" w:w="4677"/>
          </w:tcPr>
          <w:p>
            <w:pPr>
              <w:spacing w:line="240" w:lineRule="auto" w:after="80"/>
              <w:ind w:firstLine="0"/>
            </w:pPr>
            <w:r>
              <w:rPr>
                <w:sz w:val="22"/>
              </w:rPr>
              <w:t>Компонент соответствует СП и позиции</w:t>
            </w:r>
          </w:p>
        </w:tc>
      </w:tr>
      <w:tr>
        <w:tc>
          <w:tcPr>
            <w:tcW w:type="dxa" w:w="4677"/>
          </w:tcPr>
          <w:p>
            <w:pPr>
              <w:spacing w:line="240" w:lineRule="auto" w:after="80"/>
              <w:ind w:firstLine="0"/>
            </w:pPr>
            <w:r>
              <w:rPr>
                <w:sz w:val="22"/>
              </w:rPr>
              <w:t>Определение места</w:t>
            </w:r>
          </w:p>
        </w:tc>
        <w:tc>
          <w:tcPr>
            <w:tcW w:type="dxa" w:w="4677"/>
          </w:tcPr>
          <w:p>
            <w:pPr>
              <w:spacing w:line="240" w:lineRule="auto" w:after="80"/>
              <w:ind w:firstLine="0"/>
            </w:pPr>
            <w:r>
              <w:rPr>
                <w:sz w:val="22"/>
              </w:rPr>
              <w:t>Место и ориентация установлены по СБ и Э3</w:t>
            </w:r>
          </w:p>
        </w:tc>
      </w:tr>
      <w:tr>
        <w:tc>
          <w:tcPr>
            <w:tcW w:type="dxa" w:w="4677"/>
          </w:tcPr>
          <w:p>
            <w:pPr>
              <w:spacing w:line="240" w:lineRule="auto" w:after="80"/>
              <w:ind w:firstLine="0"/>
            </w:pPr>
            <w:r>
              <w:rPr>
                <w:sz w:val="22"/>
              </w:rPr>
              <w:t>Подготовка выводов</w:t>
            </w:r>
          </w:p>
        </w:tc>
        <w:tc>
          <w:tcPr>
            <w:tcW w:type="dxa" w:w="4677"/>
          </w:tcPr>
          <w:p>
            <w:pPr>
              <w:spacing w:line="240" w:lineRule="auto" w:after="80"/>
              <w:ind w:firstLine="0"/>
            </w:pPr>
            <w:r>
              <w:rPr>
                <w:sz w:val="22"/>
              </w:rPr>
              <w:t>Форма и длина обеспечивают установку без напряжений</w:t>
            </w:r>
          </w:p>
        </w:tc>
      </w:tr>
      <w:tr>
        <w:tc>
          <w:tcPr>
            <w:tcW w:type="dxa" w:w="4677"/>
          </w:tcPr>
          <w:p>
            <w:pPr>
              <w:spacing w:line="240" w:lineRule="auto" w:after="80"/>
              <w:ind w:firstLine="0"/>
            </w:pPr>
            <w:r>
              <w:rPr>
                <w:sz w:val="22"/>
              </w:rPr>
              <w:t>Установка</w:t>
            </w:r>
          </w:p>
        </w:tc>
        <w:tc>
          <w:tcPr>
            <w:tcW w:type="dxa" w:w="4677"/>
          </w:tcPr>
          <w:p>
            <w:pPr>
              <w:spacing w:line="240" w:lineRule="auto" w:after="80"/>
              <w:ind w:firstLine="0"/>
            </w:pPr>
            <w:r>
              <w:rPr>
                <w:sz w:val="22"/>
              </w:rPr>
              <w:t>Компонент установлен и временно закреплён</w:t>
            </w:r>
          </w:p>
        </w:tc>
      </w:tr>
      <w:tr>
        <w:tc>
          <w:tcPr>
            <w:tcW w:type="dxa" w:w="4677"/>
          </w:tcPr>
          <w:p>
            <w:pPr>
              <w:spacing w:line="240" w:lineRule="auto" w:after="80"/>
              <w:ind w:firstLine="0"/>
            </w:pPr>
            <w:r>
              <w:rPr>
                <w:sz w:val="22"/>
              </w:rPr>
              <w:t>Проверка</w:t>
            </w:r>
          </w:p>
        </w:tc>
        <w:tc>
          <w:tcPr>
            <w:tcW w:type="dxa" w:w="4677"/>
          </w:tcPr>
          <w:p>
            <w:pPr>
              <w:spacing w:line="240" w:lineRule="auto" w:after="80"/>
              <w:ind w:firstLine="0"/>
            </w:pPr>
            <w:r>
              <w:rPr>
                <w:sz w:val="22"/>
              </w:rPr>
              <w:t>Оценены тип, номинал, позиция, ориентация и посадка</w:t>
            </w:r>
          </w:p>
        </w:tc>
      </w:tr>
      <w:tr>
        <w:tc>
          <w:tcPr>
            <w:tcW w:type="dxa" w:w="4677"/>
          </w:tcPr>
          <w:p>
            <w:pPr>
              <w:spacing w:line="240" w:lineRule="auto" w:after="80"/>
              <w:ind w:firstLine="0"/>
            </w:pPr>
            <w:r>
              <w:rPr>
                <w:sz w:val="22"/>
              </w:rPr>
              <w:t>Исправление</w:t>
            </w:r>
          </w:p>
        </w:tc>
        <w:tc>
          <w:tcPr>
            <w:tcW w:type="dxa" w:w="4677"/>
          </w:tcPr>
          <w:p>
            <w:pPr>
              <w:spacing w:line="240" w:lineRule="auto" w:after="80"/>
              <w:ind w:firstLine="0"/>
            </w:pPr>
            <w:r>
              <w:rPr>
                <w:sz w:val="22"/>
              </w:rPr>
              <w:t>Устранено несоответствие; выполнена повторная проверка</w:t>
            </w:r>
          </w:p>
        </w:tc>
      </w:tr>
      <w:tr>
        <w:tc>
          <w:tcPr>
            <w:tcW w:type="dxa" w:w="4677"/>
          </w:tcPr>
          <w:p>
            <w:pPr>
              <w:spacing w:line="240" w:lineRule="auto" w:after="80"/>
              <w:ind w:firstLine="0"/>
            </w:pPr>
            <w:r>
              <w:rPr>
                <w:sz w:val="22"/>
              </w:rPr>
              <w:t>Фиксация платы</w:t>
            </w:r>
          </w:p>
        </w:tc>
        <w:tc>
          <w:tcPr>
            <w:tcW w:type="dxa" w:w="4677"/>
          </w:tcPr>
          <w:p>
            <w:pPr>
              <w:spacing w:line="240" w:lineRule="auto" w:after="80"/>
              <w:ind w:firstLine="0"/>
            </w:pPr>
            <w:r>
              <w:rPr>
                <w:sz w:val="22"/>
              </w:rPr>
              <w:t>Все 13 компонентов установлены; плата подготовлена к пайке</w:t>
            </w:r>
          </w:p>
        </w:tc>
      </w:tr>
    </w:tbl>
    <w:p>
      <w:pPr>
        <w:spacing w:after="0"/>
      </w:pPr>
    </w:p>
    <w:p>
      <w:pPr>
        <w:pStyle w:val="Heading2"/>
      </w:pPr>
      <w:r>
        <w:t>1.9 Декомпозиция работы «Флюсование»</w:t>
      </w:r>
    </w:p>
    <w:p>
      <w:pPr>
        <w:jc w:val="both"/>
      </w:pPr>
      <w:r>
        <w:t>Флюс ЛТИ-120 наносят дозированно на подлежащие пайке соединения. Избыток флюса не допускают. Рабочие поверхности SB1 и XS1 защищают от попадания состава. Готовность операции определяется смачиванием требуемых участков без загрязнения контактных поверхностей.</w:t>
      </w:r>
    </w:p>
    <w:p>
      <w:pPr>
        <w:keepNext/>
        <w:ind w:firstLine="0"/>
        <w:jc w:val="center"/>
      </w:pPr>
      <w:r>
        <w:drawing>
          <wp:inline xmlns:a="http://schemas.openxmlformats.org/drawingml/2006/main" xmlns:pic="http://schemas.openxmlformats.org/drawingml/2006/picture">
            <wp:extent cx="5760000" cy="2621712"/>
            <wp:docPr id="11" name="Picture 11"/>
            <wp:cNvGraphicFramePr>
              <a:graphicFrameLocks noChangeAspect="1"/>
            </wp:cNvGraphicFramePr>
            <a:graphic>
              <a:graphicData uri="http://schemas.openxmlformats.org/drawingml/2006/picture">
                <pic:pic>
                  <pic:nvPicPr>
                    <pic:cNvPr id="0" name="section_1.9.png"/>
                    <pic:cNvPicPr/>
                  </pic:nvPicPr>
                  <pic:blipFill>
                    <a:blip r:embed="rId20"/>
                    <a:stretch>
                      <a:fillRect/>
                    </a:stretch>
                  </pic:blipFill>
                  <pic:spPr>
                    <a:xfrm>
                      <a:off x="0" y="0"/>
                      <a:ext cx="5760000" cy="2621712"/>
                    </a:xfrm>
                    <a:prstGeom prst="rect"/>
                  </pic:spPr>
                </pic:pic>
              </a:graphicData>
            </a:graphic>
          </wp:inline>
        </w:drawing>
      </w:r>
    </w:p>
    <w:p>
      <w:pPr>
        <w:ind w:firstLine="0"/>
        <w:jc w:val="center"/>
      </w:pPr>
      <w:r>
        <w:rPr>
          <w:sz w:val="24"/>
        </w:rPr>
        <w:t>Рисунок 1.9.1 — Декомпозиция работы «Флюсование» в нотации IDEF0</w:t>
      </w:r>
    </w:p>
    <w:p>
      <w:pPr>
        <w:keepNext/>
        <w:ind w:firstLine="0"/>
      </w:pPr>
      <w:r>
        <w:t>Таблица 1.9.1 — Спецификация работы A41</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Смонтированная плата; флюс</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Плата с флюсованными местами соединений</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Инструкция по флюсованию; СБ</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дозатор; вытяжка</w:t>
            </w:r>
          </w:p>
        </w:tc>
      </w:tr>
    </w:tbl>
    <w:p>
      <w:pPr>
        <w:spacing w:after="0"/>
      </w:pPr>
    </w:p>
    <w:p>
      <w:pPr>
        <w:pStyle w:val="Heading2"/>
      </w:pPr>
      <w:r>
        <w:t>1.10 Декомпозиция работы «Пайка»</w:t>
      </w:r>
    </w:p>
    <w:p>
      <w:pPr>
        <w:jc w:val="both"/>
      </w:pPr>
      <w:r>
        <w:t>Пайку выполняют ПОС-61 по требованиям СБ с контролем температуры и времени контакта жала. Конкретные режимы устанавливаются технологической инструкцией с учётом корпусов и платы. Не допускают перегрева, перемычек между соседними выводами DD1 и непропаянных соединений. После пайки остатки выводов удаляют по установленным требованиям.</w:t>
      </w:r>
    </w:p>
    <w:p>
      <w:pPr>
        <w:keepNext/>
        <w:ind w:firstLine="0"/>
        <w:jc w:val="center"/>
      </w:pPr>
      <w:r>
        <w:drawing>
          <wp:inline xmlns:a="http://schemas.openxmlformats.org/drawingml/2006/main" xmlns:pic="http://schemas.openxmlformats.org/drawingml/2006/picture">
            <wp:extent cx="5760000" cy="2621712"/>
            <wp:docPr id="12" name="Picture 12"/>
            <wp:cNvGraphicFramePr>
              <a:graphicFrameLocks noChangeAspect="1"/>
            </wp:cNvGraphicFramePr>
            <a:graphic>
              <a:graphicData uri="http://schemas.openxmlformats.org/drawingml/2006/picture">
                <pic:pic>
                  <pic:nvPicPr>
                    <pic:cNvPr id="0" name="section_1.10.png"/>
                    <pic:cNvPicPr/>
                  </pic:nvPicPr>
                  <pic:blipFill>
                    <a:blip r:embed="rId21"/>
                    <a:stretch>
                      <a:fillRect/>
                    </a:stretch>
                  </pic:blipFill>
                  <pic:spPr>
                    <a:xfrm>
                      <a:off x="0" y="0"/>
                      <a:ext cx="5760000" cy="2621712"/>
                    </a:xfrm>
                    <a:prstGeom prst="rect"/>
                  </pic:spPr>
                </pic:pic>
              </a:graphicData>
            </a:graphic>
          </wp:inline>
        </w:drawing>
      </w:r>
    </w:p>
    <w:p>
      <w:pPr>
        <w:ind w:firstLine="0"/>
        <w:jc w:val="center"/>
      </w:pPr>
      <w:r>
        <w:rPr>
          <w:sz w:val="24"/>
        </w:rPr>
        <w:t>Рисунок 1.10.1 — Декомпозиция работы «Пайка» в нотации IDEF0</w:t>
      </w:r>
    </w:p>
    <w:p>
      <w:pPr>
        <w:keepNext/>
        <w:ind w:firstLine="0"/>
      </w:pPr>
      <w:r>
        <w:t>Таблица 1.10.1 — Спецификация работы A51</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Флюсованная плата; припой</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Спаянная плата; технологические отходы</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СБ; режим пайки; требования к соединениям</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паяльная станция; вытяжка</w:t>
            </w:r>
          </w:p>
        </w:tc>
      </w:tr>
    </w:tbl>
    <w:p>
      <w:pPr>
        <w:spacing w:after="0"/>
      </w:pPr>
    </w:p>
    <w:p>
      <w:pPr>
        <w:pStyle w:val="Heading2"/>
      </w:pPr>
      <w:r>
        <w:t>1.11 Декомпозиция работы «Очистка и сушка»</w:t>
      </w:r>
    </w:p>
    <w:p>
      <w:pPr>
        <w:jc w:val="both"/>
      </w:pPr>
      <w:r>
        <w:t>Промывка удаляет остатки флюса и загрязнения. Состав и способ очистки выбирают с учётом совместимости с SB1, XS1 и корпусами компонентов. Применение ультразвука не считается обязательным без подтверждения допустимости для всех компонентов. Питание и программирование разрешаются только после удаления влаги и растворителя.</w:t>
      </w:r>
    </w:p>
    <w:p>
      <w:pPr>
        <w:keepNext/>
        <w:ind w:firstLine="0"/>
        <w:jc w:val="center"/>
      </w:pPr>
      <w:r>
        <w:drawing>
          <wp:inline xmlns:a="http://schemas.openxmlformats.org/drawingml/2006/main" xmlns:pic="http://schemas.openxmlformats.org/drawingml/2006/picture">
            <wp:extent cx="5760000" cy="3588833"/>
            <wp:docPr id="13" name="Picture 13"/>
            <wp:cNvGraphicFramePr>
              <a:graphicFrameLocks noChangeAspect="1"/>
            </wp:cNvGraphicFramePr>
            <a:graphic>
              <a:graphicData uri="http://schemas.openxmlformats.org/drawingml/2006/picture">
                <pic:pic>
                  <pic:nvPicPr>
                    <pic:cNvPr id="0" name="section_1.11.png"/>
                    <pic:cNvPicPr/>
                  </pic:nvPicPr>
                  <pic:blipFill>
                    <a:blip r:embed="rId22"/>
                    <a:stretch>
                      <a:fillRect/>
                    </a:stretch>
                  </pic:blipFill>
                  <pic:spPr>
                    <a:xfrm>
                      <a:off x="0" y="0"/>
                      <a:ext cx="5760000" cy="3588833"/>
                    </a:xfrm>
                    <a:prstGeom prst="rect"/>
                  </pic:spPr>
                </pic:pic>
              </a:graphicData>
            </a:graphic>
          </wp:inline>
        </w:drawing>
      </w:r>
    </w:p>
    <w:p>
      <w:pPr>
        <w:ind w:firstLine="0"/>
        <w:jc w:val="center"/>
      </w:pPr>
      <w:r>
        <w:rPr>
          <w:sz w:val="24"/>
        </w:rPr>
        <w:t>Рисунок 1.11.1 — Декомпозиция работы «Очистка и сушка» в нотации IDEF0</w:t>
      </w:r>
    </w:p>
    <w:p>
      <w:pPr>
        <w:keepNext/>
        <w:ind w:firstLine="0"/>
      </w:pPr>
      <w:r>
        <w:t>Таблица 1.11.1 — Спецификация работы A61 «Промыть ячейку»</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Спаянная плата; очищающий состав</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Очищенная, но ещё не высушенная плата</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Инструкция по очистке и сушке; совместимость материалов</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Оператор; установка очистки; сушильное оборудование</w:t>
            </w:r>
          </w:p>
        </w:tc>
      </w:tr>
    </w:tbl>
    <w:p>
      <w:pPr>
        <w:spacing w:after="0"/>
      </w:pPr>
    </w:p>
    <w:p>
      <w:pPr>
        <w:keepNext/>
        <w:ind w:firstLine="0"/>
      </w:pPr>
      <w:r>
        <w:t>Таблица 1.11.2 — Спецификация работы A62 «Высушить ячейку»</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Очищенная, но ещё не высушенная плата</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Чистая сухая плата; загрязнённый состав</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Инструкция по очистке и сушке; совместимость материалов</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Оператор; установка очистки; сушильное оборудование</w:t>
            </w:r>
          </w:p>
        </w:tc>
      </w:tr>
    </w:tbl>
    <w:p>
      <w:pPr>
        <w:spacing w:after="0"/>
      </w:pPr>
    </w:p>
    <w:p>
      <w:pPr>
        <w:pStyle w:val="Heading2"/>
      </w:pPr>
      <w:r>
        <w:t>1.12 Декомпозиция работы «Подготовка и запись программного обеспечения»</w:t>
      </w:r>
    </w:p>
    <w:p>
      <w:pPr>
        <w:jc w:val="both"/>
      </w:pPr>
      <w:r>
        <w:t>Для выпуска применяют идентифицированный файл прошивки и карту программирования с указанием типа контроллера, тактирования и настроек. HEX-файл сам по себе не содержит полного описания всех настроек микроконтроллера. Запись сопровождают проверкой сигнатуры, верификацией памяти и фиксацией результата. Произвольное изменение fuse-битов не допускается.</w:t>
      </w:r>
    </w:p>
    <w:p>
      <w:pPr>
        <w:keepNext/>
        <w:ind w:firstLine="0"/>
        <w:jc w:val="center"/>
      </w:pPr>
      <w:r>
        <w:drawing>
          <wp:inline xmlns:a="http://schemas.openxmlformats.org/drawingml/2006/main" xmlns:pic="http://schemas.openxmlformats.org/drawingml/2006/picture">
            <wp:extent cx="5760000" cy="3588833"/>
            <wp:docPr id="14" name="Picture 14"/>
            <wp:cNvGraphicFramePr>
              <a:graphicFrameLocks noChangeAspect="1"/>
            </wp:cNvGraphicFramePr>
            <a:graphic>
              <a:graphicData uri="http://schemas.openxmlformats.org/drawingml/2006/picture">
                <pic:pic>
                  <pic:nvPicPr>
                    <pic:cNvPr id="0" name="section_1.12.png"/>
                    <pic:cNvPicPr/>
                  </pic:nvPicPr>
                  <pic:blipFill>
                    <a:blip r:embed="rId23"/>
                    <a:stretch>
                      <a:fillRect/>
                    </a:stretch>
                  </pic:blipFill>
                  <pic:spPr>
                    <a:xfrm>
                      <a:off x="0" y="0"/>
                      <a:ext cx="5760000" cy="3588833"/>
                    </a:xfrm>
                    <a:prstGeom prst="rect"/>
                  </pic:spPr>
                </pic:pic>
              </a:graphicData>
            </a:graphic>
          </wp:inline>
        </w:drawing>
      </w:r>
    </w:p>
    <w:p>
      <w:pPr>
        <w:ind w:firstLine="0"/>
        <w:jc w:val="center"/>
      </w:pPr>
      <w:r>
        <w:rPr>
          <w:sz w:val="24"/>
        </w:rPr>
        <w:t>Рисунок 1.12.1 — Декомпозиция работы «Подготовка и запись программного обеспечения» в нотации IDEF0</w:t>
      </w:r>
    </w:p>
    <w:p>
      <w:pPr>
        <w:keepNext/>
        <w:ind w:firstLine="0"/>
      </w:pPr>
      <w:r>
        <w:t>Таблица 1.12.1 — Спецификация работы A71 «Подготовить программирование»</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Чистая сухая плата</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Подключённая ячейка; проверенные настройки; разрешение на запись</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Утверждённый HEX; карта программирования; проверенные настройки тактирования</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Оператор; ПК; AVR-программатор; адаптер</w:t>
            </w:r>
          </w:p>
        </w:tc>
      </w:tr>
    </w:tbl>
    <w:p>
      <w:pPr>
        <w:spacing w:after="0"/>
      </w:pPr>
    </w:p>
    <w:p>
      <w:pPr>
        <w:keepNext/>
        <w:ind w:firstLine="0"/>
      </w:pPr>
      <w:r>
        <w:t>Таблица 1.12.2 — Спецификация работы A72 «Записать и верифицировать ПО»</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Подключённая ячейка; проверенные настройки; разрешение на запись</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Ячейка с записанным ПО; отчёт верификации; сообщение об ошибке</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Утверждённый HEX; карта программирования; проверенные настройки тактирования</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Оператор; ПК; AVR-программатор; адаптер</w:t>
            </w:r>
          </w:p>
        </w:tc>
      </w:tr>
    </w:tbl>
    <w:p>
      <w:pPr>
        <w:spacing w:after="0"/>
      </w:pPr>
    </w:p>
    <w:p>
      <w:pPr>
        <w:jc w:val="both"/>
      </w:pPr>
      <w:r>
        <w:t>В представленной Э3 отдельный разъём ISP не показан. Для программирования после пайки требуется технологический доступ к RESET, MOSI, MISO, SCK, питанию и общему проводу, например через контактную оснастку. Возможность такого доступа должна быть подтверждена по плате. Если она отсутствует, DD1 программируют до установки с помощью адаптера; соответствующую запись переносят перед монтажом, а после сборки сохраняют функциональную проверку. Сам факт наличия HEX не подтверждает возможность внутрисхемной записи.</w:t>
      </w:r>
    </w:p>
    <w:p>
      <w:pPr>
        <w:pStyle w:val="Heading2"/>
      </w:pPr>
      <w:r>
        <w:t>1.13 Декомпозиция контроля, защиты и окончательной приёмки</w:t>
      </w:r>
    </w:p>
    <w:p>
      <w:pPr>
        <w:jc w:val="both"/>
      </w:pPr>
      <w:r>
        <w:t>Контроль разделён на оценку качества сборки и проверку электрических параметров и алгоритма. Проверка алгоритма принципиальна: правильная пайка не гарантирует соответствия прошивки аппаратной схеме. Лак наносят на прошедшую контроль ячейку. После выдержки покрытия выполняют окончательный осмотр и краткий повторный функциональный тест.</w:t>
      </w:r>
    </w:p>
    <w:p>
      <w:pPr>
        <w:keepNext/>
        <w:ind w:firstLine="0"/>
        <w:jc w:val="center"/>
      </w:pPr>
      <w:r>
        <w:drawing>
          <wp:inline xmlns:a="http://schemas.openxmlformats.org/drawingml/2006/main" xmlns:pic="http://schemas.openxmlformats.org/drawingml/2006/picture">
            <wp:extent cx="5760000" cy="3588833"/>
            <wp:docPr id="15" name="Picture 15"/>
            <wp:cNvGraphicFramePr>
              <a:graphicFrameLocks noChangeAspect="1"/>
            </wp:cNvGraphicFramePr>
            <a:graphic>
              <a:graphicData uri="http://schemas.openxmlformats.org/drawingml/2006/picture">
                <pic:pic>
                  <pic:nvPicPr>
                    <pic:cNvPr id="0" name="control.png"/>
                    <pic:cNvPicPr/>
                  </pic:nvPicPr>
                  <pic:blipFill>
                    <a:blip r:embed="rId24"/>
                    <a:stretch>
                      <a:fillRect/>
                    </a:stretch>
                  </pic:blipFill>
                  <pic:spPr>
                    <a:xfrm>
                      <a:off x="0" y="0"/>
                      <a:ext cx="5760000" cy="3588833"/>
                    </a:xfrm>
                    <a:prstGeom prst="rect"/>
                  </pic:spPr>
                </pic:pic>
              </a:graphicData>
            </a:graphic>
          </wp:inline>
        </w:drawing>
      </w:r>
    </w:p>
    <w:p>
      <w:pPr>
        <w:ind w:firstLine="0"/>
        <w:jc w:val="center"/>
      </w:pPr>
      <w:r>
        <w:rPr>
          <w:sz w:val="24"/>
        </w:rPr>
        <w:t>Рисунок 1.13.1 — Декомпозиция технического контроля в нотации IDEF0</w:t>
      </w:r>
    </w:p>
    <w:p>
      <w:pPr>
        <w:keepNext/>
        <w:ind w:firstLine="0"/>
      </w:pPr>
      <w:r>
        <w:t>Таблица 1.13.1 — Спецификация визуального контроля</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Собранная ячейка</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Решение о допуске к включению; перечень дефектов</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СБ; критерии качества соединений; Э3</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Контролёр; микроскоп 16×</w:t>
            </w:r>
          </w:p>
        </w:tc>
      </w:tr>
    </w:tbl>
    <w:p>
      <w:pPr>
        <w:spacing w:after="0"/>
      </w:pPr>
    </w:p>
    <w:p>
      <w:pPr>
        <w:keepNext/>
        <w:ind w:firstLine="0"/>
      </w:pPr>
      <w:r>
        <w:t>Таблица 1.13.2 — Спецификация электрического и функционального контроля</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Ячейка, допущенная к включению; измеренные значения</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Протокол; решение о соответствии; извещение о несоответствии</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ТЗ; Э3; утверждённый алгоритм; методика испытаний</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Контролёр; регулируемый источник с ограничением тока; мультиметр; осциллограф или логический анализатор</w:t>
            </w:r>
          </w:p>
        </w:tc>
      </w:tr>
    </w:tbl>
    <w:p>
      <w:pPr>
        <w:spacing w:after="0"/>
      </w:pPr>
    </w:p>
    <w:p>
      <w:pPr>
        <w:pStyle w:val="Heading3"/>
      </w:pPr>
      <w:r>
        <w:t>1.13.1 Декомпозиция визуального контроля в нотации IDEF3</w:t>
      </w:r>
    </w:p>
    <w:p>
      <w:pPr>
        <w:keepNext/>
        <w:ind w:firstLine="0"/>
        <w:jc w:val="center"/>
      </w:pPr>
      <w:r>
        <w:drawing>
          <wp:inline xmlns:a="http://schemas.openxmlformats.org/drawingml/2006/main" xmlns:pic="http://schemas.openxmlformats.org/drawingml/2006/picture">
            <wp:extent cx="5760000" cy="4840454"/>
            <wp:docPr id="16" name="Picture 16"/>
            <wp:cNvGraphicFramePr>
              <a:graphicFrameLocks noChangeAspect="1"/>
            </wp:cNvGraphicFramePr>
            <a:graphic>
              <a:graphicData uri="http://schemas.openxmlformats.org/drawingml/2006/picture">
                <pic:pic>
                  <pic:nvPicPr>
                    <pic:cNvPr id="0" name="idef3_inspection.png"/>
                    <pic:cNvPicPr/>
                  </pic:nvPicPr>
                  <pic:blipFill>
                    <a:blip r:embed="rId25"/>
                    <a:stretch>
                      <a:fillRect/>
                    </a:stretch>
                  </pic:blipFill>
                  <pic:spPr>
                    <a:xfrm>
                      <a:off x="0" y="0"/>
                      <a:ext cx="5760000" cy="4840454"/>
                    </a:xfrm>
                    <a:prstGeom prst="rect"/>
                  </pic:spPr>
                </pic:pic>
              </a:graphicData>
            </a:graphic>
          </wp:inline>
        </w:drawing>
      </w:r>
    </w:p>
    <w:p>
      <w:pPr>
        <w:ind w:firstLine="0"/>
        <w:jc w:val="center"/>
      </w:pPr>
      <w:r>
        <w:rPr>
          <w:sz w:val="24"/>
        </w:rPr>
        <w:t>Рисунок 1.13.2 — Сценарий визуально-оптического контроля в нотации IDEF3</w:t>
      </w:r>
    </w:p>
    <w:p>
      <w:pPr>
        <w:keepNext/>
        <w:ind w:firstLine="0"/>
      </w:pPr>
      <w:r>
        <w:t>Таблица 1.13.3 — Критерии визуально-оптического контроля</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Объект</w:t>
            </w:r>
          </w:p>
        </w:tc>
        <w:tc>
          <w:tcPr>
            <w:tcW w:type="dxa" w:w="4677"/>
          </w:tcPr>
          <w:p>
            <w:pPr>
              <w:spacing w:line="240" w:lineRule="auto" w:after="80"/>
              <w:ind w:firstLine="0"/>
            </w:pPr>
            <w:r>
              <w:rPr>
                <w:sz w:val="22"/>
              </w:rPr>
              <w:t>Проверяемые признаки</w:t>
            </w:r>
          </w:p>
        </w:tc>
      </w:tr>
      <w:tr>
        <w:tc>
          <w:tcPr>
            <w:tcW w:type="dxa" w:w="4677"/>
          </w:tcPr>
          <w:p>
            <w:pPr>
              <w:spacing w:line="240" w:lineRule="auto" w:after="80"/>
              <w:ind w:firstLine="0"/>
            </w:pPr>
            <w:r>
              <w:rPr>
                <w:sz w:val="22"/>
              </w:rPr>
              <w:t>Комплектность</w:t>
            </w:r>
          </w:p>
        </w:tc>
        <w:tc>
          <w:tcPr>
            <w:tcW w:type="dxa" w:w="4677"/>
          </w:tcPr>
          <w:p>
            <w:pPr>
              <w:spacing w:line="240" w:lineRule="auto" w:after="80"/>
              <w:ind w:firstLine="0"/>
            </w:pPr>
            <w:r>
              <w:rPr>
                <w:sz w:val="22"/>
              </w:rPr>
              <w:t>Все 13 компонентов присутствуют; обозначения и номиналы соответствуют КД</w:t>
            </w:r>
          </w:p>
        </w:tc>
      </w:tr>
      <w:tr>
        <w:tc>
          <w:tcPr>
            <w:tcW w:type="dxa" w:w="4677"/>
          </w:tcPr>
          <w:p>
            <w:pPr>
              <w:spacing w:line="240" w:lineRule="auto" w:after="80"/>
              <w:ind w:firstLine="0"/>
            </w:pPr>
            <w:r>
              <w:rPr>
                <w:sz w:val="22"/>
              </w:rPr>
              <w:t>Ориентация</w:t>
            </w:r>
          </w:p>
        </w:tc>
        <w:tc>
          <w:tcPr>
            <w:tcW w:type="dxa" w:w="4677"/>
          </w:tcPr>
          <w:p>
            <w:pPr>
              <w:spacing w:line="240" w:lineRule="auto" w:after="80"/>
              <w:ind w:firstLine="0"/>
            </w:pPr>
            <w:r>
              <w:rPr>
                <w:sz w:val="22"/>
              </w:rPr>
              <w:t>Ключ DD1; полярность VD1–VD3; положение XS1 и SB1</w:t>
            </w:r>
          </w:p>
        </w:tc>
      </w:tr>
      <w:tr>
        <w:tc>
          <w:tcPr>
            <w:tcW w:type="dxa" w:w="4677"/>
          </w:tcPr>
          <w:p>
            <w:pPr>
              <w:spacing w:line="240" w:lineRule="auto" w:after="80"/>
              <w:ind w:firstLine="0"/>
            </w:pPr>
            <w:r>
              <w:rPr>
                <w:sz w:val="22"/>
              </w:rPr>
              <w:t>Паяные соединения</w:t>
            </w:r>
          </w:p>
        </w:tc>
        <w:tc>
          <w:tcPr>
            <w:tcW w:type="dxa" w:w="4677"/>
          </w:tcPr>
          <w:p>
            <w:pPr>
              <w:spacing w:line="240" w:lineRule="auto" w:after="80"/>
              <w:ind w:firstLine="0"/>
            </w:pPr>
            <w:r>
              <w:rPr>
                <w:sz w:val="22"/>
              </w:rPr>
              <w:t>Нет перемычек, непропаев, трещин, отслаивания площадок и видимых повреждений</w:t>
            </w:r>
          </w:p>
        </w:tc>
      </w:tr>
      <w:tr>
        <w:tc>
          <w:tcPr>
            <w:tcW w:type="dxa" w:w="4677"/>
          </w:tcPr>
          <w:p>
            <w:pPr>
              <w:spacing w:line="240" w:lineRule="auto" w:after="80"/>
              <w:ind w:firstLine="0"/>
            </w:pPr>
            <w:r>
              <w:rPr>
                <w:sz w:val="22"/>
              </w:rPr>
              <w:t>Очистка</w:t>
            </w:r>
          </w:p>
        </w:tc>
        <w:tc>
          <w:tcPr>
            <w:tcW w:type="dxa" w:w="4677"/>
          </w:tcPr>
          <w:p>
            <w:pPr>
              <w:spacing w:line="240" w:lineRule="auto" w:after="80"/>
              <w:ind w:firstLine="0"/>
            </w:pPr>
            <w:r>
              <w:rPr>
                <w:sz w:val="22"/>
              </w:rPr>
              <w:t>Нет остатков состава и влаги; контактные поверхности чистые</w:t>
            </w:r>
          </w:p>
        </w:tc>
      </w:tr>
      <w:tr>
        <w:tc>
          <w:tcPr>
            <w:tcW w:type="dxa" w:w="4677"/>
          </w:tcPr>
          <w:p>
            <w:pPr>
              <w:spacing w:line="240" w:lineRule="auto" w:after="80"/>
              <w:ind w:firstLine="0"/>
            </w:pPr>
            <w:r>
              <w:rPr>
                <w:sz w:val="22"/>
              </w:rPr>
              <w:t>Результат</w:t>
            </w:r>
          </w:p>
        </w:tc>
        <w:tc>
          <w:tcPr>
            <w:tcW w:type="dxa" w:w="4677"/>
          </w:tcPr>
          <w:p>
            <w:pPr>
              <w:spacing w:line="240" w:lineRule="auto" w:after="80"/>
              <w:ind w:firstLine="0"/>
            </w:pPr>
            <w:r>
              <w:rPr>
                <w:sz w:val="22"/>
              </w:rPr>
              <w:t>Допуск к включению либо ведомость дефектов; после ремонта — повторный осмотр</w:t>
            </w:r>
          </w:p>
        </w:tc>
      </w:tr>
    </w:tbl>
    <w:p>
      <w:pPr>
        <w:spacing w:after="0"/>
      </w:pPr>
    </w:p>
    <w:p>
      <w:pPr>
        <w:pStyle w:val="Heading3"/>
      </w:pPr>
      <w:r>
        <w:t>1.13.2 Обработка результатов электрического контроля в нотации DFD</w:t>
      </w:r>
    </w:p>
    <w:p>
      <w:pPr>
        <w:jc w:val="both"/>
      </w:pPr>
      <w:r>
        <w:t>DFD показывает потоки данных, а не движение платы. Стенд передаёт измеренные токи, напряжения и временные интервалы; контролёр — идентификатор ячейки и сведения о прошивке. Процесс сравнения использует утверждённые требования. Результаты сохраняются независимо от исхода проверки, что обеспечивает прослеживаемость и не допускает потери сведений о дефектах.</w:t>
      </w:r>
    </w:p>
    <w:p>
      <w:pPr>
        <w:keepNext/>
        <w:ind w:firstLine="0"/>
        <w:jc w:val="center"/>
      </w:pPr>
      <w:r>
        <w:drawing>
          <wp:inline xmlns:a="http://schemas.openxmlformats.org/drawingml/2006/main" xmlns:pic="http://schemas.openxmlformats.org/drawingml/2006/picture">
            <wp:extent cx="5760000" cy="3688989"/>
            <wp:docPr id="17" name="Picture 17"/>
            <wp:cNvGraphicFramePr>
              <a:graphicFrameLocks noChangeAspect="1"/>
            </wp:cNvGraphicFramePr>
            <a:graphic>
              <a:graphicData uri="http://schemas.openxmlformats.org/drawingml/2006/picture">
                <pic:pic>
                  <pic:nvPicPr>
                    <pic:cNvPr id="0" name="dfd.png"/>
                    <pic:cNvPicPr/>
                  </pic:nvPicPr>
                  <pic:blipFill>
                    <a:blip r:embed="rId26"/>
                    <a:stretch>
                      <a:fillRect/>
                    </a:stretch>
                  </pic:blipFill>
                  <pic:spPr>
                    <a:xfrm>
                      <a:off x="0" y="0"/>
                      <a:ext cx="5760000" cy="3688989"/>
                    </a:xfrm>
                    <a:prstGeom prst="rect"/>
                  </pic:spPr>
                </pic:pic>
              </a:graphicData>
            </a:graphic>
          </wp:inline>
        </w:drawing>
      </w:r>
    </w:p>
    <w:p>
      <w:pPr>
        <w:ind w:firstLine="0"/>
        <w:jc w:val="center"/>
      </w:pPr>
      <w:r>
        <w:rPr>
          <w:sz w:val="24"/>
        </w:rPr>
        <w:t>Рисунок 1.13.3 — DFD обработки результатов контроля</w:t>
      </w:r>
    </w:p>
    <w:p>
      <w:pPr>
        <w:keepNext/>
        <w:ind w:firstLine="0"/>
      </w:pPr>
      <w:r>
        <w:t>Таблица 1.13.4 — Спецификация процессов DFD</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pPr>
              <w:spacing w:line="240" w:lineRule="auto" w:after="80"/>
              <w:ind w:firstLine="0"/>
            </w:pPr>
            <w:r>
              <w:rPr>
                <w:sz w:val="22"/>
              </w:rPr>
              <w:t>Процесс</w:t>
            </w:r>
          </w:p>
        </w:tc>
        <w:tc>
          <w:tcPr>
            <w:tcW w:type="dxa" w:w="3118"/>
          </w:tcPr>
          <w:p>
            <w:pPr>
              <w:spacing w:line="240" w:lineRule="auto" w:after="80"/>
              <w:ind w:firstLine="0"/>
            </w:pPr>
            <w:r>
              <w:rPr>
                <w:sz w:val="22"/>
              </w:rPr>
              <w:t>Входные данные</w:t>
            </w:r>
          </w:p>
        </w:tc>
        <w:tc>
          <w:tcPr>
            <w:tcW w:type="dxa" w:w="3118"/>
          </w:tcPr>
          <w:p>
            <w:pPr>
              <w:spacing w:line="240" w:lineRule="auto" w:after="80"/>
              <w:ind w:firstLine="0"/>
            </w:pPr>
            <w:r>
              <w:rPr>
                <w:sz w:val="22"/>
              </w:rPr>
              <w:t>Выходные данные</w:t>
            </w:r>
          </w:p>
        </w:tc>
      </w:tr>
      <w:tr>
        <w:tc>
          <w:tcPr>
            <w:tcW w:type="dxa" w:w="3118"/>
          </w:tcPr>
          <w:p>
            <w:pPr>
              <w:spacing w:line="240" w:lineRule="auto" w:after="80"/>
              <w:ind w:firstLine="0"/>
            </w:pPr>
            <w:r>
              <w:rPr>
                <w:sz w:val="22"/>
              </w:rPr>
              <w:t>1. Сопоставление</w:t>
            </w:r>
          </w:p>
        </w:tc>
        <w:tc>
          <w:tcPr>
            <w:tcW w:type="dxa" w:w="3118"/>
          </w:tcPr>
          <w:p>
            <w:pPr>
              <w:spacing w:line="240" w:lineRule="auto" w:after="80"/>
              <w:ind w:firstLine="0"/>
            </w:pPr>
            <w:r>
              <w:rPr>
                <w:sz w:val="22"/>
              </w:rPr>
              <w:t>ID; версия ПО; измерения; требования D1</w:t>
            </w:r>
          </w:p>
        </w:tc>
        <w:tc>
          <w:tcPr>
            <w:tcW w:type="dxa" w:w="3118"/>
          </w:tcPr>
          <w:p>
            <w:pPr>
              <w:spacing w:line="240" w:lineRule="auto" w:after="80"/>
              <w:ind w:firstLine="0"/>
            </w:pPr>
            <w:r>
              <w:rPr>
                <w:sz w:val="22"/>
              </w:rPr>
              <w:t>Запись в D2: фактические значения и оценка</w:t>
            </w:r>
          </w:p>
        </w:tc>
      </w:tr>
      <w:tr>
        <w:tc>
          <w:tcPr>
            <w:tcW w:type="dxa" w:w="3118"/>
          </w:tcPr>
          <w:p>
            <w:pPr>
              <w:spacing w:line="240" w:lineRule="auto" w:after="80"/>
              <w:ind w:firstLine="0"/>
            </w:pPr>
            <w:r>
              <w:rPr>
                <w:sz w:val="22"/>
              </w:rPr>
              <w:t>2. Заключение</w:t>
            </w:r>
          </w:p>
        </w:tc>
        <w:tc>
          <w:tcPr>
            <w:tcW w:type="dxa" w:w="3118"/>
          </w:tcPr>
          <w:p>
            <w:pPr>
              <w:spacing w:line="240" w:lineRule="auto" w:after="80"/>
              <w:ind w:firstLine="0"/>
            </w:pPr>
            <w:r>
              <w:rPr>
                <w:sz w:val="22"/>
              </w:rPr>
              <w:t>Запись результатов из D2</w:t>
            </w:r>
          </w:p>
        </w:tc>
        <w:tc>
          <w:tcPr>
            <w:tcW w:type="dxa" w:w="3118"/>
          </w:tcPr>
          <w:p>
            <w:pPr>
              <w:spacing w:line="240" w:lineRule="auto" w:after="80"/>
              <w:ind w:firstLine="0"/>
            </w:pPr>
            <w:r>
              <w:rPr>
                <w:sz w:val="22"/>
              </w:rPr>
              <w:t>Протокол; при дефекте — запись D3 и извещение технологу</w:t>
            </w:r>
          </w:p>
        </w:tc>
      </w:tr>
    </w:tbl>
    <w:p>
      <w:pPr>
        <w:spacing w:after="0"/>
      </w:pPr>
    </w:p>
    <w:p>
      <w:pPr>
        <w:keepNext/>
        <w:ind w:firstLine="0"/>
      </w:pPr>
      <w:r>
        <w:t>Таблица 1.13.5 — Программа функционального контроля</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pPr>
              <w:spacing w:line="240" w:lineRule="auto" w:after="80"/>
              <w:ind w:firstLine="0"/>
            </w:pPr>
            <w:r>
              <w:rPr>
                <w:sz w:val="22"/>
              </w:rPr>
              <w:t>Проверка</w:t>
            </w:r>
          </w:p>
        </w:tc>
        <w:tc>
          <w:tcPr>
            <w:tcW w:type="dxa" w:w="3118"/>
          </w:tcPr>
          <w:p>
            <w:pPr>
              <w:spacing w:line="240" w:lineRule="auto" w:after="80"/>
              <w:ind w:firstLine="0"/>
            </w:pPr>
            <w:r>
              <w:rPr>
                <w:sz w:val="22"/>
              </w:rPr>
              <w:t>Ожидаемый результат</w:t>
            </w:r>
          </w:p>
        </w:tc>
        <w:tc>
          <w:tcPr>
            <w:tcW w:type="dxa" w:w="3118"/>
          </w:tcPr>
          <w:p>
            <w:pPr>
              <w:spacing w:line="240" w:lineRule="auto" w:after="80"/>
              <w:ind w:firstLine="0"/>
            </w:pPr>
            <w:r>
              <w:rPr>
                <w:sz w:val="22"/>
              </w:rPr>
              <w:t>Средство</w:t>
            </w:r>
          </w:p>
        </w:tc>
      </w:tr>
      <w:tr>
        <w:tc>
          <w:tcPr>
            <w:tcW w:type="dxa" w:w="3118"/>
          </w:tcPr>
          <w:p>
            <w:pPr>
              <w:spacing w:line="240" w:lineRule="auto" w:after="80"/>
              <w:ind w:firstLine="0"/>
            </w:pPr>
            <w:r>
              <w:rPr>
                <w:sz w:val="22"/>
              </w:rPr>
              <w:t>Питание</w:t>
            </w:r>
          </w:p>
        </w:tc>
        <w:tc>
          <w:tcPr>
            <w:tcW w:type="dxa" w:w="3118"/>
          </w:tcPr>
          <w:p>
            <w:pPr>
              <w:spacing w:line="240" w:lineRule="auto" w:after="80"/>
              <w:ind w:firstLine="0"/>
            </w:pPr>
            <w:r>
              <w:rPr>
                <w:sz w:val="22"/>
              </w:rPr>
              <w:t>Работа при 4,5–5,5 В; отсутствие перегрева; ток не более 50 мА по ТЗ</w:t>
            </w:r>
          </w:p>
        </w:tc>
        <w:tc>
          <w:tcPr>
            <w:tcW w:type="dxa" w:w="3118"/>
          </w:tcPr>
          <w:p>
            <w:pPr>
              <w:spacing w:line="240" w:lineRule="auto" w:after="80"/>
              <w:ind w:firstLine="0"/>
            </w:pPr>
            <w:r>
              <w:rPr>
                <w:sz w:val="22"/>
              </w:rPr>
              <w:t>Источник; мультиметр</w:t>
            </w:r>
          </w:p>
        </w:tc>
      </w:tr>
      <w:tr>
        <w:tc>
          <w:tcPr>
            <w:tcW w:type="dxa" w:w="3118"/>
          </w:tcPr>
          <w:p>
            <w:pPr>
              <w:spacing w:line="240" w:lineRule="auto" w:after="80"/>
              <w:ind w:firstLine="0"/>
            </w:pPr>
            <w:r>
              <w:rPr>
                <w:sz w:val="22"/>
              </w:rPr>
              <w:t>Назначение выходов</w:t>
            </w:r>
          </w:p>
        </w:tc>
        <w:tc>
          <w:tcPr>
            <w:tcW w:type="dxa" w:w="3118"/>
          </w:tcPr>
          <w:p>
            <w:pPr>
              <w:spacing w:line="240" w:lineRule="auto" w:after="80"/>
              <w:ind w:firstLine="0"/>
            </w:pPr>
            <w:r>
              <w:rPr>
                <w:sz w:val="22"/>
              </w:rPr>
              <w:t>PD0 — красный VD1; PD1 — жёлтый VD2; PD2 — зелёный VD3</w:t>
            </w:r>
          </w:p>
        </w:tc>
        <w:tc>
          <w:tcPr>
            <w:tcW w:type="dxa" w:w="3118"/>
          </w:tcPr>
          <w:p>
            <w:pPr>
              <w:spacing w:line="240" w:lineRule="auto" w:after="80"/>
              <w:ind w:firstLine="0"/>
            </w:pPr>
            <w:r>
              <w:rPr>
                <w:sz w:val="22"/>
              </w:rPr>
              <w:t>Э3; наблюдение</w:t>
            </w:r>
          </w:p>
        </w:tc>
      </w:tr>
      <w:tr>
        <w:tc>
          <w:tcPr>
            <w:tcW w:type="dxa" w:w="3118"/>
          </w:tcPr>
          <w:p>
            <w:pPr>
              <w:spacing w:line="240" w:lineRule="auto" w:after="80"/>
              <w:ind w:firstLine="0"/>
            </w:pPr>
            <w:r>
              <w:rPr>
                <w:sz w:val="22"/>
              </w:rPr>
              <w:t>Цикл</w:t>
            </w:r>
          </w:p>
        </w:tc>
        <w:tc>
          <w:tcPr>
            <w:tcW w:type="dxa" w:w="3118"/>
          </w:tcPr>
          <w:p>
            <w:pPr>
              <w:spacing w:line="240" w:lineRule="auto" w:after="80"/>
              <w:ind w:firstLine="0"/>
            </w:pPr>
            <w:r>
              <w:rPr>
                <w:sz w:val="22"/>
              </w:rPr>
              <w:t>8 с зелёный; 2 с мигание; 3 с жёлтый; 9 с красный; 3 с красный и жёлтый; повтор</w:t>
            </w:r>
          </w:p>
        </w:tc>
        <w:tc>
          <w:tcPr>
            <w:tcW w:type="dxa" w:w="3118"/>
          </w:tcPr>
          <w:p>
            <w:pPr>
              <w:spacing w:line="240" w:lineRule="auto" w:after="80"/>
              <w:ind w:firstLine="0"/>
            </w:pPr>
            <w:r>
              <w:rPr>
                <w:sz w:val="22"/>
              </w:rPr>
              <w:t>Осциллограф или анализатор</w:t>
            </w:r>
          </w:p>
        </w:tc>
      </w:tr>
      <w:tr>
        <w:tc>
          <w:tcPr>
            <w:tcW w:type="dxa" w:w="3118"/>
          </w:tcPr>
          <w:p>
            <w:pPr>
              <w:spacing w:line="240" w:lineRule="auto" w:after="80"/>
              <w:ind w:firstLine="0"/>
            </w:pPr>
            <w:r>
              <w:rPr>
                <w:sz w:val="22"/>
              </w:rPr>
              <w:t>Мигание</w:t>
            </w:r>
          </w:p>
        </w:tc>
        <w:tc>
          <w:tcPr>
            <w:tcW w:type="dxa" w:w="3118"/>
          </w:tcPr>
          <w:p>
            <w:pPr>
              <w:spacing w:line="240" w:lineRule="auto" w:after="80"/>
              <w:ind w:firstLine="0"/>
            </w:pPr>
            <w:r>
              <w:rPr>
                <w:sz w:val="22"/>
              </w:rPr>
              <w:t>По заданному алгоритму: проверить число фронтов и длительности; не смешивать четыре фазы по 0,5 с с четырьмя полными миганиями</w:t>
            </w:r>
          </w:p>
        </w:tc>
        <w:tc>
          <w:tcPr>
            <w:tcW w:type="dxa" w:w="3118"/>
          </w:tcPr>
          <w:p>
            <w:pPr>
              <w:spacing w:line="240" w:lineRule="auto" w:after="80"/>
              <w:ind w:firstLine="0"/>
            </w:pPr>
            <w:r>
              <w:rPr>
                <w:sz w:val="22"/>
              </w:rPr>
              <w:t>Осциллограф</w:t>
            </w:r>
          </w:p>
        </w:tc>
      </w:tr>
      <w:tr>
        <w:tc>
          <w:tcPr>
            <w:tcW w:type="dxa" w:w="3118"/>
          </w:tcPr>
          <w:p>
            <w:pPr>
              <w:spacing w:line="240" w:lineRule="auto" w:after="80"/>
              <w:ind w:firstLine="0"/>
            </w:pPr>
            <w:r>
              <w:rPr>
                <w:sz w:val="22"/>
              </w:rPr>
              <w:t>Кнопка</w:t>
            </w:r>
          </w:p>
        </w:tc>
        <w:tc>
          <w:tcPr>
            <w:tcW w:type="dxa" w:w="3118"/>
          </w:tcPr>
          <w:p>
            <w:pPr>
              <w:spacing w:line="240" w:lineRule="auto" w:after="80"/>
              <w:ind w:firstLine="0"/>
            </w:pPr>
            <w:r>
              <w:rPr>
                <w:sz w:val="22"/>
              </w:rPr>
              <w:t>Нажатие в каждой фазе вызывает предусмотренный режим; отпускание возвращает автоматический цикл</w:t>
            </w:r>
          </w:p>
        </w:tc>
        <w:tc>
          <w:tcPr>
            <w:tcW w:type="dxa" w:w="3118"/>
          </w:tcPr>
          <w:p>
            <w:pPr>
              <w:spacing w:line="240" w:lineRule="auto" w:after="80"/>
              <w:ind w:firstLine="0"/>
            </w:pPr>
            <w:r>
              <w:rPr>
                <w:sz w:val="22"/>
              </w:rPr>
              <w:t>Кнопка; анализатор</w:t>
            </w:r>
          </w:p>
        </w:tc>
      </w:tr>
      <w:tr>
        <w:tc>
          <w:tcPr>
            <w:tcW w:type="dxa" w:w="3118"/>
          </w:tcPr>
          <w:p>
            <w:pPr>
              <w:spacing w:line="240" w:lineRule="auto" w:after="80"/>
              <w:ind w:firstLine="0"/>
            </w:pPr>
            <w:r>
              <w:rPr>
                <w:sz w:val="22"/>
              </w:rPr>
              <w:t>Помехоустойчивость входа</w:t>
            </w:r>
          </w:p>
        </w:tc>
        <w:tc>
          <w:tcPr>
            <w:tcW w:type="dxa" w:w="3118"/>
          </w:tcPr>
          <w:p>
            <w:pPr>
              <w:spacing w:line="240" w:lineRule="auto" w:after="80"/>
              <w:ind w:firstLine="0"/>
            </w:pPr>
            <w:r>
              <w:rPr>
                <w:sz w:val="22"/>
              </w:rPr>
              <w:t>Устойчивое состояние при отпущенной кнопке; отсутствие ложных переключений</w:t>
            </w:r>
          </w:p>
        </w:tc>
        <w:tc>
          <w:tcPr>
            <w:tcW w:type="dxa" w:w="3118"/>
          </w:tcPr>
          <w:p>
            <w:pPr>
              <w:spacing w:line="240" w:lineRule="auto" w:after="80"/>
              <w:ind w:firstLine="0"/>
            </w:pPr>
            <w:r>
              <w:rPr>
                <w:sz w:val="22"/>
              </w:rPr>
              <w:t>Мультиметр; анализатор</w:t>
            </w:r>
          </w:p>
        </w:tc>
      </w:tr>
      <w:tr>
        <w:tc>
          <w:tcPr>
            <w:tcW w:type="dxa" w:w="3118"/>
          </w:tcPr>
          <w:p>
            <w:pPr>
              <w:spacing w:line="240" w:lineRule="auto" w:after="80"/>
              <w:ind w:firstLine="0"/>
            </w:pPr>
            <w:r>
              <w:rPr>
                <w:sz w:val="22"/>
              </w:rPr>
              <w:t>Повторный запуск</w:t>
            </w:r>
          </w:p>
        </w:tc>
        <w:tc>
          <w:tcPr>
            <w:tcW w:type="dxa" w:w="3118"/>
          </w:tcPr>
          <w:p>
            <w:pPr>
              <w:spacing w:line="240" w:lineRule="auto" w:after="80"/>
              <w:ind w:firstLine="0"/>
            </w:pPr>
            <w:r>
              <w:rPr>
                <w:sz w:val="22"/>
              </w:rPr>
              <w:t>Корректный старт после снятия и подачи питания</w:t>
            </w:r>
          </w:p>
        </w:tc>
        <w:tc>
          <w:tcPr>
            <w:tcW w:type="dxa" w:w="3118"/>
          </w:tcPr>
          <w:p>
            <w:pPr>
              <w:spacing w:line="240" w:lineRule="auto" w:after="80"/>
              <w:ind w:firstLine="0"/>
            </w:pPr>
            <w:r>
              <w:rPr>
                <w:sz w:val="22"/>
              </w:rPr>
              <w:t>Источник</w:t>
            </w:r>
          </w:p>
        </w:tc>
      </w:tr>
      <w:tr>
        <w:tc>
          <w:tcPr>
            <w:tcW w:type="dxa" w:w="3118"/>
          </w:tcPr>
          <w:p>
            <w:pPr>
              <w:spacing w:line="240" w:lineRule="auto" w:after="80"/>
              <w:ind w:firstLine="0"/>
            </w:pPr>
            <w:r>
              <w:rPr>
                <w:sz w:val="22"/>
              </w:rPr>
              <w:t>Прослеживаемость</w:t>
            </w:r>
          </w:p>
        </w:tc>
        <w:tc>
          <w:tcPr>
            <w:tcW w:type="dxa" w:w="3118"/>
          </w:tcPr>
          <w:p>
            <w:pPr>
              <w:spacing w:line="240" w:lineRule="auto" w:after="80"/>
              <w:ind w:firstLine="0"/>
            </w:pPr>
            <w:r>
              <w:rPr>
                <w:sz w:val="22"/>
              </w:rPr>
              <w:t>Зафиксированы ID ячейки, идентификатор HEX, настройки и фактические результаты</w:t>
            </w:r>
          </w:p>
        </w:tc>
        <w:tc>
          <w:tcPr>
            <w:tcW w:type="dxa" w:w="3118"/>
          </w:tcPr>
          <w:p>
            <w:pPr>
              <w:spacing w:line="240" w:lineRule="auto" w:after="80"/>
              <w:ind w:firstLine="0"/>
            </w:pPr>
            <w:r>
              <w:rPr>
                <w:sz w:val="22"/>
              </w:rPr>
              <w:t>Протокол</w:t>
            </w:r>
          </w:p>
        </w:tc>
      </w:tr>
    </w:tbl>
    <w:p>
      <w:pPr>
        <w:spacing w:after="0"/>
      </w:pPr>
    </w:p>
    <w:p>
      <w:pPr>
        <w:jc w:val="both"/>
      </w:pPr>
      <w:r>
        <w:t>Числовой допуск на временные интервалы в представленных материалах не установлен. До его утверждения в протоколе записывают измеренные значения, а соответствие времени не подтверждают произвольно выбранным допуском. Задержки, реализованные программными циклами, зависят от тактирования и параметров компиляции.</w:t>
      </w:r>
    </w:p>
    <w:p>
      <w:pPr>
        <w:pStyle w:val="Heading3"/>
      </w:pPr>
      <w:r>
        <w:t>1.13.3 Защитное покрытие и окончательная приёмка</w:t>
      </w:r>
    </w:p>
    <w:p>
      <w:pPr>
        <w:keepNext/>
        <w:ind w:firstLine="0"/>
        <w:jc w:val="center"/>
      </w:pPr>
      <w:r>
        <w:drawing>
          <wp:inline xmlns:a="http://schemas.openxmlformats.org/drawingml/2006/main" xmlns:pic="http://schemas.openxmlformats.org/drawingml/2006/picture">
            <wp:extent cx="5760000" cy="3588833"/>
            <wp:docPr id="18" name="Picture 18"/>
            <wp:cNvGraphicFramePr>
              <a:graphicFrameLocks noChangeAspect="1"/>
            </wp:cNvGraphicFramePr>
            <a:graphic>
              <a:graphicData uri="http://schemas.openxmlformats.org/drawingml/2006/picture">
                <pic:pic>
                  <pic:nvPicPr>
                    <pic:cNvPr id="0" name="finish.png"/>
                    <pic:cNvPicPr/>
                  </pic:nvPicPr>
                  <pic:blipFill>
                    <a:blip r:embed="rId27"/>
                    <a:stretch>
                      <a:fillRect/>
                    </a:stretch>
                  </pic:blipFill>
                  <pic:spPr>
                    <a:xfrm>
                      <a:off x="0" y="0"/>
                      <a:ext cx="5760000" cy="3588833"/>
                    </a:xfrm>
                    <a:prstGeom prst="rect"/>
                  </pic:spPr>
                </pic:pic>
              </a:graphicData>
            </a:graphic>
          </wp:inline>
        </w:drawing>
      </w:r>
    </w:p>
    <w:p>
      <w:pPr>
        <w:ind w:firstLine="0"/>
        <w:jc w:val="center"/>
      </w:pPr>
      <w:r>
        <w:rPr>
          <w:sz w:val="24"/>
        </w:rPr>
        <w:t>Рисунок 1.13.4 — Защита и приёмка изделия в нотации IDEF0</w:t>
      </w:r>
    </w:p>
    <w:p>
      <w:pPr>
        <w:keepNext/>
        <w:ind w:firstLine="0"/>
      </w:pPr>
      <w:r>
        <w:t>Таблица 1.13.6 — Спецификация защитного покрытия</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Ячейка после положительного контроля; КО-921; маски</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Покрытая и выдержанная ячейка; снятые маски</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СБ; инструкция на лак; допустимые зоны нанесения</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Монтажник; кисть; вытяжка; оснащение выдержки</w:t>
            </w:r>
          </w:p>
        </w:tc>
      </w:tr>
    </w:tbl>
    <w:p>
      <w:pPr>
        <w:spacing w:after="0"/>
      </w:pPr>
    </w:p>
    <w:p>
      <w:pPr>
        <w:keepNext/>
        <w:ind w:firstLine="0"/>
      </w:pPr>
      <w:r>
        <w:t>Таблица 1.13.7 — Спецификация окончательной приёмки</w:t>
      </w:r>
    </w:p>
    <w:tbl>
      <w:tblPr>
        <w:tblStyle w:val="TableGrid"/>
        <w:tblW w:type="auto" w:w="0"/>
        <w:tblLook w:firstColumn="1" w:firstRow="1" w:lastColumn="0" w:lastRow="0" w:noHBand="0" w:noVBand="1" w:val="04A0"/>
      </w:tblPr>
      <w:tblGrid>
        <w:gridCol w:w="4677"/>
        <w:gridCol w:w="4677"/>
      </w:tblGrid>
      <w:tr>
        <w:trPr>
          <w:tblHeader/>
        </w:trPr>
        <w:tc>
          <w:tcPr>
            <w:tcW w:type="dxa" w:w="4677"/>
          </w:tcPr>
          <w:p>
            <w:pPr>
              <w:spacing w:line="240" w:lineRule="auto" w:after="80"/>
              <w:ind w:firstLine="0"/>
            </w:pPr>
            <w:r>
              <w:rPr>
                <w:sz w:val="22"/>
              </w:rPr>
              <w:t>Тип связи</w:t>
            </w:r>
          </w:p>
        </w:tc>
        <w:tc>
          <w:tcPr>
            <w:tcW w:type="dxa" w:w="4677"/>
          </w:tcPr>
          <w:p>
            <w:pPr>
              <w:spacing w:line="240" w:lineRule="auto" w:after="80"/>
              <w:ind w:firstLine="0"/>
            </w:pPr>
            <w:r>
              <w:rPr>
                <w:sz w:val="22"/>
              </w:rPr>
              <w:t>Содержание</w:t>
            </w:r>
          </w:p>
        </w:tc>
      </w:tr>
      <w:tr>
        <w:tc>
          <w:tcPr>
            <w:tcW w:type="dxa" w:w="4677"/>
          </w:tcPr>
          <w:p>
            <w:pPr>
              <w:spacing w:line="240" w:lineRule="auto" w:after="80"/>
              <w:ind w:firstLine="0"/>
            </w:pPr>
            <w:r>
              <w:rPr>
                <w:sz w:val="22"/>
              </w:rPr>
              <w:t>Вход (I)</w:t>
            </w:r>
          </w:p>
        </w:tc>
        <w:tc>
          <w:tcPr>
            <w:tcW w:type="dxa" w:w="4677"/>
          </w:tcPr>
          <w:p>
            <w:pPr>
              <w:spacing w:line="240" w:lineRule="auto" w:after="80"/>
              <w:ind w:firstLine="0"/>
            </w:pPr>
            <w:r>
              <w:rPr>
                <w:sz w:val="22"/>
              </w:rPr>
              <w:t>Ячейка после выдержки; результаты предыдущих проверок</w:t>
            </w:r>
          </w:p>
        </w:tc>
      </w:tr>
      <w:tr>
        <w:tc>
          <w:tcPr>
            <w:tcW w:type="dxa" w:w="4677"/>
          </w:tcPr>
          <w:p>
            <w:pPr>
              <w:spacing w:line="240" w:lineRule="auto" w:after="80"/>
              <w:ind w:firstLine="0"/>
            </w:pPr>
            <w:r>
              <w:rPr>
                <w:sz w:val="22"/>
              </w:rPr>
              <w:t>Выход (O)</w:t>
            </w:r>
          </w:p>
        </w:tc>
        <w:tc>
          <w:tcPr>
            <w:tcW w:type="dxa" w:w="4677"/>
          </w:tcPr>
          <w:p>
            <w:pPr>
              <w:spacing w:line="240" w:lineRule="auto" w:after="80"/>
              <w:ind w:firstLine="0"/>
            </w:pPr>
            <w:r>
              <w:rPr>
                <w:sz w:val="22"/>
              </w:rPr>
              <w:t>Принятое изделие; окончательный протокол либо извещение о дефекте</w:t>
            </w:r>
          </w:p>
        </w:tc>
      </w:tr>
      <w:tr>
        <w:tc>
          <w:tcPr>
            <w:tcW w:type="dxa" w:w="4677"/>
          </w:tcPr>
          <w:p>
            <w:pPr>
              <w:spacing w:line="240" w:lineRule="auto" w:after="80"/>
              <w:ind w:firstLine="0"/>
            </w:pPr>
            <w:r>
              <w:rPr>
                <w:sz w:val="22"/>
              </w:rPr>
              <w:t>Управление (C)</w:t>
            </w:r>
          </w:p>
        </w:tc>
        <w:tc>
          <w:tcPr>
            <w:tcW w:type="dxa" w:w="4677"/>
          </w:tcPr>
          <w:p>
            <w:pPr>
              <w:spacing w:line="240" w:lineRule="auto" w:after="80"/>
              <w:ind w:firstLine="0"/>
            </w:pPr>
            <w:r>
              <w:rPr>
                <w:sz w:val="22"/>
              </w:rPr>
              <w:t>Критерии покрытия; СБ; программа краткого повторного теста</w:t>
            </w:r>
          </w:p>
        </w:tc>
      </w:tr>
      <w:tr>
        <w:tc>
          <w:tcPr>
            <w:tcW w:type="dxa" w:w="4677"/>
          </w:tcPr>
          <w:p>
            <w:pPr>
              <w:spacing w:line="240" w:lineRule="auto" w:after="80"/>
              <w:ind w:firstLine="0"/>
            </w:pPr>
            <w:r>
              <w:rPr>
                <w:sz w:val="22"/>
              </w:rPr>
              <w:t>Механизмы (M)</w:t>
            </w:r>
          </w:p>
        </w:tc>
        <w:tc>
          <w:tcPr>
            <w:tcW w:type="dxa" w:w="4677"/>
          </w:tcPr>
          <w:p>
            <w:pPr>
              <w:spacing w:line="240" w:lineRule="auto" w:after="80"/>
              <w:ind w:firstLine="0"/>
            </w:pPr>
            <w:r>
              <w:rPr>
                <w:sz w:val="22"/>
              </w:rPr>
              <w:t>Контролёр; оптическое и электрическое оборудование</w:t>
            </w:r>
          </w:p>
        </w:tc>
      </w:tr>
    </w:tbl>
    <w:p>
      <w:pPr>
        <w:spacing w:after="0"/>
      </w:pPr>
    </w:p>
    <w:p>
      <w:pPr>
        <w:jc w:val="both"/>
      </w:pPr>
      <w:r>
        <w:t>На окончательной приёмке проверяют отсутствие лака на контактах клеммника, подвижной части SB1 и светящих поверхностях VD1–VD3, полноту требуемого покрытия и отсутствие загрязнений. Краткий тест включает запуск цикла, проверку трёх цветов и реакции на кнопку. При дефекте изделия изолируют до решения о доработке.</w:t>
      </w:r>
    </w:p>
    <w:p>
      <w:pPr>
        <w:pStyle w:val="Heading2"/>
      </w:pPr>
      <w:r>
        <w:t>1.14 Разработка диаграммы «дерево узлов» технологического процесса</w:t>
      </w:r>
    </w:p>
    <w:p>
      <w:pPr>
        <w:jc w:val="both"/>
      </w:pPr>
      <w:r>
        <w:t>Дерево узлов отражает иерархию функций IDEF0 без материальных и информационных потоков. Узлы A1–A9 соответствуют диаграмме A0. Переходы сценариев IDEF3 и процессы DFD показаны отдельно и не подменяют уровни функциональной декомпозиции.</w:t>
      </w:r>
    </w:p>
    <w:p>
      <w:pPr>
        <w:keepNext/>
        <w:ind w:firstLine="0"/>
        <w:jc w:val="center"/>
      </w:pPr>
      <w:r>
        <w:drawing>
          <wp:inline xmlns:a="http://schemas.openxmlformats.org/drawingml/2006/main" xmlns:pic="http://schemas.openxmlformats.org/drawingml/2006/picture">
            <wp:extent cx="5760000" cy="7529507"/>
            <wp:docPr id="19" name="Picture 19"/>
            <wp:cNvGraphicFramePr>
              <a:graphicFrameLocks noChangeAspect="1"/>
            </wp:cNvGraphicFramePr>
            <a:graphic>
              <a:graphicData uri="http://schemas.openxmlformats.org/drawingml/2006/picture">
                <pic:pic>
                  <pic:nvPicPr>
                    <pic:cNvPr id="0" name="tree.png"/>
                    <pic:cNvPicPr/>
                  </pic:nvPicPr>
                  <pic:blipFill>
                    <a:blip r:embed="rId28"/>
                    <a:stretch>
                      <a:fillRect/>
                    </a:stretch>
                  </pic:blipFill>
                  <pic:spPr>
                    <a:xfrm>
                      <a:off x="0" y="0"/>
                      <a:ext cx="5760000" cy="7529507"/>
                    </a:xfrm>
                    <a:prstGeom prst="rect"/>
                  </pic:spPr>
                </pic:pic>
              </a:graphicData>
            </a:graphic>
          </wp:inline>
        </w:drawing>
      </w:r>
    </w:p>
    <w:p>
      <w:pPr>
        <w:ind w:firstLine="0"/>
        <w:jc w:val="center"/>
      </w:pPr>
      <w:r>
        <w:rPr>
          <w:sz w:val="24"/>
        </w:rPr>
        <w:t>Рисунок 1.14.1 — Дерево узлов модели технологического процесса</w:t>
      </w:r>
    </w:p>
    <w:p>
      <w:pPr>
        <w:pStyle w:val="Heading2"/>
      </w:pPr>
      <w:r>
        <w:t>Выводы</w:t>
      </w:r>
    </w:p>
    <w:p>
      <w:pPr>
        <w:jc w:val="both"/>
      </w:pPr>
      <w:r>
        <w:t>Разработана модель изготовления электронной ячейки учебного светофора на ATmega8-16PU. Анализ состава определил 13 выводных компонентов и печатную плату. Предложен маршрут ручной сборки, включающий программирование, проверку алгоритма и защиту мест пайки. Предварительная оценка времени представлена параметрически с отдельным учётом выдержки покрытия.</w:t>
      </w:r>
    </w:p>
    <w:p>
      <w:pPr>
        <w:jc w:val="both"/>
      </w:pPr>
      <w:r>
        <w:t>Контекстная диаграмма устанавливает границы процесса и состав интерфейсов ICOM. Девять функций верхнего уровня раскрыты до технологических работ. Сценарии монтажа и визуального контроля описаны в IDEF3; обработка результатов измерений — в DFD. Выделенные журналы контроля и несоответствий могут использоваться при дальнейшей разработке информационной модели.</w:t>
      </w:r>
    </w:p>
    <w:p>
      <w:pPr>
        <w:jc w:val="both"/>
      </w:pPr>
      <w:r>
        <w:t>Полученные модели представляют проектное описание процесса. Они не подтверждают проведение реального изготовления, хронометража или испытаний. Для выпуска технологической документации необходимо согласовать исходную КД, методику функционального контроля и карту программирования.</w:t>
      </w:r>
    </w:p>
    <w:p>
      <w:pPr>
        <w:pStyle w:val="Heading2"/>
      </w:pPr>
      <w:r>
        <w:t>Исходные материалы к главе</w:t>
      </w:r>
    </w:p>
    <w:p>
      <w:pPr>
        <w:jc w:val="both"/>
      </w:pPr>
      <w:r>
        <w:t>07_Glava_1_FilenkoAS2.docx — образец структуры главы ДЗ А. С. Филенко.</w:t>
      </w:r>
    </w:p>
    <w:p>
      <w:pPr>
        <w:jc w:val="both"/>
      </w:pPr>
      <w:r>
        <w:t>РПЗ.docx — расчётно-пояснительная записка К. Д. Калинина.</w:t>
      </w:r>
    </w:p>
    <w:p>
      <w:pPr>
        <w:jc w:val="both"/>
      </w:pPr>
      <w:r>
        <w:t>Э3.pdf — схема электрическая принципиальная светофора.</w:t>
      </w:r>
    </w:p>
    <w:p>
      <w:pPr>
        <w:jc w:val="both"/>
      </w:pPr>
      <w:r>
        <w:t>ПЭ3.pdf и СП.pdf — перечень элементов и спецификация.</w:t>
      </w:r>
    </w:p>
    <w:p>
      <w:pPr>
        <w:jc w:val="both"/>
      </w:pPr>
      <w:r>
        <w:t>СБ.pdf — сборочный чертёж с техническими требованиями.</w:t>
      </w:r>
    </w:p>
    <w:p>
      <w:pPr>
        <w:jc w:val="both"/>
      </w:pPr>
      <w:r>
        <w:t>CODE.docx — описание и исходный код алгоритма.</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outlineLvl w:val="2"/>
    </w:pPr>
    <w:rPr>
      <w:rFonts w:asciiTheme="majorHAnsi" w:eastAsiaTheme="majorEastAsia" w:hAnsiTheme="majorHAnsi" w:cstheme="majorBidi" w:ascii="Times New Roman" w:hAnsi="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