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Сучасна будівельна галузь характеризується високою складністю організації процесів, де взаємодія архітекторів, інженерів, підрядників та клієнтів вимагає чіткої координації. Незважаючи на це, індустрія стикається з типовими проблемами: затримки, перевитрати бюджету, недостатня якість робіт і відсутність прозорості. Вирішення цих завдань можливе через впровадження спеціалізованих веб-застосунків, які автоматизують комунікацію, управління ресурсами та забезпечують контроль на всіх етапах.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Стратегічні аспекти ефективного менеджменту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Для успішної реалізації будівельних проектів необхідно дотримуватися семи ключових принципів: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Визначення цілей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Чіткі цілі, що відповідають місії компанії, є основою управління. Вони включають терміни завершення, бюджетні рамки, якісні параметри та ключові показники ефективності для оцінки результативності.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Стратегічне планування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Детальний план проекту охоплює: розподіл ресурсів, графік робіт, аналіз ризиків із застосуванням превентивних стратегій. Інструменти типу діаграм Ганта допомагають візуалізувати етапи та залежності.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Розподіл відповідальності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Кожному учаснику команди делегуються завдання згідно з кваліфікацією (наприклад, логістика, контроль якості). Це забезпечує зосередженість на результатах та уникає дублювання функцій.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Система моніторингу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Постійний контроль прогресу через регулярні звіти, зустрічі та використання PM-інструментів (Kanban, ERP-системи). Це дозволяє оперативно виявляти відхилення від плану.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Гнучкість управління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Динаміка будівельних проектів вимагає швидкої адаптації до змін: перерозподіл коштів, корекція термінів, зміна технічних рішень. Резервні плани та сценарії мінімізують вплив непередбачених обставин.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lastRenderedPageBreak/>
        <w:t>Контроль якості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Впровадження стандартів QA/QC, періодичні аудити та співпраця з експертами гарантують відповідність результатів вимогам клієнтів і нормативів.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Ефективна комунікація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Використання веб-платформ для обміну даними, проведення онлайн-нарад та документування рішень забезпечує прозорість і зменшує ризик конфліктів. Активне слухання і конструктивна віддача підвищують ефективність колаборації.</w:t>
      </w:r>
    </w:p>
    <w:p w:rsidR="00664668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Висновки</w:t>
      </w:r>
    </w:p>
    <w:p w:rsidR="009B10B0" w:rsidRPr="00664668" w:rsidRDefault="00664668" w:rsidP="00664668">
      <w:pPr>
        <w:rPr>
          <w:rFonts w:ascii="Times New Roman" w:hAnsi="Times New Roman" w:cs="Times New Roman"/>
          <w:sz w:val="28"/>
          <w:szCs w:val="28"/>
        </w:rPr>
      </w:pPr>
      <w:r w:rsidRPr="00664668">
        <w:rPr>
          <w:rFonts w:ascii="Times New Roman" w:hAnsi="Times New Roman" w:cs="Times New Roman"/>
          <w:sz w:val="28"/>
          <w:szCs w:val="28"/>
        </w:rPr>
        <w:t>Інтеграція цифрових інструментів у систему управління будівельною компанією дозволяє систематизувати процеси, підвищити відповідальність учасників та скоротити витрати. Досвід виробничої практики підтверджує, що автоматизація комунікації та моніторингу є критично важливою для досягнення ключових показників ефективності та задоволення вимог замовників.</w:t>
      </w:r>
    </w:p>
    <w:sectPr w:rsidR="009B10B0" w:rsidRPr="00664668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C0"/>
    <w:rsid w:val="00024B05"/>
    <w:rsid w:val="00052751"/>
    <w:rsid w:val="000C0AA2"/>
    <w:rsid w:val="00220522"/>
    <w:rsid w:val="00251BF9"/>
    <w:rsid w:val="00251D7B"/>
    <w:rsid w:val="00266F5F"/>
    <w:rsid w:val="003B1173"/>
    <w:rsid w:val="004122E6"/>
    <w:rsid w:val="004A3CAE"/>
    <w:rsid w:val="005B0EA3"/>
    <w:rsid w:val="005C76D8"/>
    <w:rsid w:val="0061019D"/>
    <w:rsid w:val="00664668"/>
    <w:rsid w:val="00670618"/>
    <w:rsid w:val="009B10B0"/>
    <w:rsid w:val="00B24744"/>
    <w:rsid w:val="00C46E13"/>
    <w:rsid w:val="00D24AC0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DC7A"/>
  <w15:chartTrackingRefBased/>
  <w15:docId w15:val="{42F67853-2134-4E51-B4DF-ED564E32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4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4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4A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4A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4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4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4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4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2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AC0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2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A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24A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A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A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24A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4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1561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2025-05-14T06:07:00Z</dcterms:created>
  <dcterms:modified xsi:type="dcterms:W3CDTF">2025-05-14T06:27:00Z</dcterms:modified>
</cp:coreProperties>
</file>