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MESM: данные, проверка и подключение ИИ</w:t>
      </w:r>
    </w:p>
    <w:p>
      <w:r>
        <w:t>Версия 1.12.0 • 6 октября 2026 года</w:t>
      </w:r>
    </w:p>
    <w:p>
      <w:r>
        <w:t>Назначение: показать, на каких данных работает проект, какие документы нужны для доказательства результата и как повторить расчёт для другого муниципалитета. Наличие файла не означает подтверждённость каждого значения или готовность к раннему предупреждению.</w:t>
      </w:r>
    </w:p>
    <w:p>
      <w:pPr>
        <w:pStyle w:val="Heading1"/>
      </w:pPr>
      <w:r>
        <w:t>Использованные и полученные данные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Данные</w:t>
            </w:r>
          </w:p>
        </w:tc>
        <w:tc>
          <w:tcPr>
            <w:tcW w:type="dxa" w:w="2592"/>
          </w:tcPr>
          <w:p>
            <w:r>
              <w:t>Файл / источник</w:t>
            </w:r>
          </w:p>
        </w:tc>
        <w:tc>
          <w:tcPr>
            <w:tcW w:type="dxa" w:w="2592"/>
          </w:tcPr>
          <w:p>
            <w:r>
              <w:t>Показатели</w:t>
            </w:r>
          </w:p>
        </w:tc>
        <w:tc>
          <w:tcPr>
            <w:tcW w:type="dxa" w:w="2592"/>
          </w:tcPr>
          <w:p>
            <w:r>
              <w:t>Роль и ограничение</w:t>
            </w:r>
          </w:p>
        </w:tc>
      </w:tr>
      <w:tr>
        <w:tc>
          <w:tcPr>
            <w:tcW w:type="dxa" w:w="2592"/>
          </w:tcPr>
          <w:p>
            <w:r>
              <w:t>План Сургута 2025–2027</w:t>
            </w:r>
          </w:p>
        </w:tc>
        <w:tc>
          <w:tcPr>
            <w:tcW w:type="dxa" w:w="2592"/>
          </w:tcPr>
          <w:p>
            <w:r>
              <w:t>Решение №713-VII ДГ; data/processed/official_budget_plan_surgut_2025_2027.csv</w:t>
            </w:r>
          </w:p>
        </w:tc>
        <w:tc>
          <w:tcPr>
            <w:tcW w:type="dxa" w:w="2592"/>
          </w:tcPr>
          <w:p>
            <w:r>
              <w:t>Доходы, расходы, финансирование, собственные доходы, нормативная база дефицита</w:t>
            </w:r>
          </w:p>
        </w:tc>
        <w:tc>
          <w:tcPr>
            <w:tcW w:type="dxa" w:w="2592"/>
          </w:tcPr>
          <w:p>
            <w:r>
              <w:t>Участвует в бюджетном расчёте и отчёте. План, не факт. Четыре суммы за 2025 сверены по PDF; компоненты дополнительных нормативов требуют отдельной трассировки.</w:t>
            </w:r>
          </w:p>
        </w:tc>
      </w:tr>
      <w:tr>
        <w:tc>
          <w:tcPr>
            <w:tcW w:type="dxa" w:w="2592"/>
          </w:tcPr>
          <w:p>
            <w:r>
              <w:t>Годовые исходные суммы 2023–2025</w:t>
            </w:r>
          </w:p>
        </w:tc>
        <w:tc>
          <w:tcPr>
            <w:tcW w:type="dxa" w:w="2592"/>
          </w:tcPr>
          <w:p>
            <w:r>
              <w:t>official_quality_core_inputs_2023_2025.csv</w:t>
            </w:r>
          </w:p>
        </w:tc>
        <w:tc>
          <w:tcPr>
            <w:tcW w:type="dxa" w:w="2592"/>
          </w:tcPr>
          <w:p>
            <w:r>
              <w:t>tax_initial/nontax_initial, tax_actual/nontax_actual, program_expense, total_expense, municipal_debt, own_revenue_base</w:t>
            </w:r>
          </w:p>
        </w:tc>
        <w:tc>
          <w:tcPr>
            <w:tcW w:type="dxa" w:w="2592"/>
          </w:tcPr>
          <w:p>
            <w:r>
              <w:t>Участвуют в годовом Reference, коэффициентах и контексте. Проверить исходные листы, ячейки, единицы и даты публикации; наличие CSV не подтверждает каждую сумму.</w:t>
            </w:r>
          </w:p>
        </w:tc>
      </w:tr>
      <w:tr>
        <w:tc>
          <w:tcPr>
            <w:tcW w:type="dxa" w:w="2592"/>
          </w:tcPr>
          <w:p>
            <w:r>
              <w:t>Годовой финансовый срез</w:t>
            </w:r>
          </w:p>
        </w:tc>
        <w:tc>
          <w:tcPr>
            <w:tcW w:type="dxa" w:w="2592"/>
          </w:tcPr>
          <w:p>
            <w:r>
              <w:t>fiscal_reference_panel.csv</w:t>
            </w:r>
          </w:p>
        </w:tc>
        <w:tc>
          <w:tcPr>
            <w:tcW w:type="dxa" w:w="2592"/>
          </w:tcPr>
          <w:p>
            <w:r>
              <w:t>Отклонение доходов, доля программных расходов, долговая нагрузка, поправки, рейтинг</w:t>
            </w:r>
          </w:p>
        </w:tc>
        <w:tc>
          <w:tcPr>
            <w:tcW w:type="dxa" w:w="2592"/>
          </w:tcPr>
          <w:p>
            <w:r>
              <w:t>Производный результат. Не самостоятельный первичный источник. Отсутствующие ОКТМО и даты не восполняются предположениями.</w:t>
            </w:r>
          </w:p>
        </w:tc>
      </w:tr>
      <w:tr>
        <w:tc>
          <w:tcPr>
            <w:tcW w:type="dxa" w:w="2592"/>
          </w:tcPr>
          <w:p>
            <w:r>
              <w:t>Рейтинги 2023–2025</w:t>
            </w:r>
          </w:p>
        </w:tc>
        <w:tc>
          <w:tcPr>
            <w:tcW w:type="dxa" w:w="2592"/>
          </w:tcPr>
          <w:p>
            <w:r>
              <w:t>official_quality_rankings_2023_2025.csv</w:t>
            </w:r>
          </w:p>
        </w:tc>
        <w:tc>
          <w:tcPr>
            <w:tcW w:type="dxa" w:w="2592"/>
          </w:tcPr>
          <w:p>
            <w:r>
              <w:t>Ранги, признаки качества управления</w:t>
            </w:r>
          </w:p>
        </w:tc>
        <w:tc>
          <w:tcPr>
            <w:tcW w:type="dxa" w:w="2592"/>
          </w:tcPr>
          <w:p>
            <w:r>
              <w:t>Подключены к Reference; официальная методика рейтинга проверяется отдельно.</w:t>
            </w:r>
          </w:p>
        </w:tc>
      </w:tr>
      <w:tr>
        <w:tc>
          <w:tcPr>
            <w:tcW w:type="dxa" w:w="2592"/>
          </w:tcPr>
          <w:p>
            <w:r>
              <w:t>Бюджетная обеспеченность 2021–2023</w:t>
            </w:r>
          </w:p>
        </w:tc>
        <w:tc>
          <w:tcPr>
            <w:tcW w:type="dxa" w:w="2592"/>
          </w:tcPr>
          <w:p>
            <w:r>
              <w:t>budget_provision_history_2021_2023.csv</w:t>
            </w:r>
          </w:p>
        </w:tc>
        <w:tc>
          <w:tcPr>
            <w:tcW w:type="dxa" w:w="2592"/>
          </w:tcPr>
          <w:p>
            <w:r>
              <w:t>bo_actual, bo_calculated, population, estimated_revenue, estimated_obligations</w:t>
            </w:r>
          </w:p>
        </w:tc>
        <w:tc>
          <w:tcPr>
            <w:tcW w:type="dxa" w:w="2592"/>
          </w:tcPr>
          <w:p>
            <w:r>
              <w:t>Используется в БО. Историческая численность не является населением 2025 и не переносится автоматически.</w:t>
            </w:r>
          </w:p>
        </w:tc>
      </w:tr>
      <w:tr>
        <w:tc>
          <w:tcPr>
            <w:tcW w:type="dxa" w:w="2592"/>
          </w:tcPr>
          <w:p>
            <w:r>
              <w:t>Структура бюджета Сургута 2025</w:t>
            </w:r>
          </w:p>
        </w:tc>
        <w:tc>
          <w:tcPr>
            <w:tcW w:type="dxa" w:w="2592"/>
          </w:tcPr>
          <w:p>
            <w:r>
              <w:t>official_budget_project_surgut_2025.csv</w:t>
            </w:r>
          </w:p>
        </w:tc>
        <w:tc>
          <w:tcPr>
            <w:tcW w:type="dxa" w:w="2592"/>
          </w:tcPr>
          <w:p>
            <w:r>
              <w:t>Статьи доходов, расходов, финансирования, признаки</w:t>
            </w:r>
          </w:p>
        </w:tc>
        <w:tc>
          <w:tcPr>
            <w:tcW w:type="dxa" w:w="2592"/>
          </w:tcPr>
          <w:p>
            <w:r>
              <w:t>Используется в бюджетной структуре; исходные строки/единицы требуют сверки.</w:t>
            </w:r>
          </w:p>
        </w:tc>
      </w:tr>
      <w:tr>
        <w:tc>
          <w:tcPr>
            <w:tcW w:type="dxa" w:w="2592"/>
          </w:tcPr>
          <w:p>
            <w:r>
              <w:t>5-НДФЛ 2019–2024: выгрузка Сургута</w:t>
            </w:r>
          </w:p>
        </w:tc>
        <w:tc>
          <w:tcPr>
            <w:tcW w:type="dxa" w:w="2592"/>
          </w:tcPr>
          <w:p>
            <w:r>
              <w:t>data/external/fns_5ndfl_surgut.csv; config/external_sources.json</w:t>
            </w:r>
          </w:p>
        </w:tc>
        <w:tc>
          <w:tcPr>
            <w:tcW w:type="dxa" w:w="2592"/>
          </w:tcPr>
          <w:p>
            <w:r>
              <w:t>Показатель, единица, ОКТМО, разрезы, налоговый орган, год, report_date</w:t>
            </w:r>
          </w:p>
        </w:tc>
        <w:tc>
          <w:tcPr>
            <w:tcW w:type="dxa" w:w="2592"/>
          </w:tcPr>
          <w:p>
            <w:r>
              <w:t>Файл получен (connected), не validated. В реальные детекторы не включён. Нельзя складывать пересекающиеся итоги или считать report_date датой доступности без подтверждения.</w:t>
            </w:r>
          </w:p>
        </w:tc>
      </w:tr>
      <w:tr>
        <w:tc>
          <w:tcPr>
            <w:tcW w:type="dxa" w:w="2592"/>
          </w:tcPr>
          <w:p>
            <w:r>
              <w:t>PDF бюджета и трассировка</w:t>
            </w:r>
          </w:p>
        </w:tc>
        <w:tc>
          <w:tcPr>
            <w:tcW w:type="dxa" w:w="2592"/>
          </w:tcPr>
          <w:p>
            <w:r>
              <w:t>data/manifest/report_trace_2025.json; PDF решения №713</w:t>
            </w:r>
          </w:p>
        </w:tc>
        <w:tc>
          <w:tcPr>
            <w:tcW w:type="dxa" w:w="2592"/>
          </w:tcPr>
          <w:p>
            <w:r>
              <w:t>Страница, bbox, исходный текст, извлекатель, SHA-256</w:t>
            </w:r>
          </w:p>
        </w:tc>
        <w:tc>
          <w:tcPr>
            <w:tcW w:type="dxa" w:w="2592"/>
          </w:tcPr>
          <w:p>
            <w:r>
              <w:t>Обратная связь числа и страницы есть для четырёх плановых сумм; additional_ndfl остаётся неполностью прослеженным.</w:t>
            </w:r>
          </w:p>
        </w:tc>
      </w:tr>
      <w:tr>
        <w:tc>
          <w:tcPr>
            <w:tcW w:type="dxa" w:w="2592"/>
          </w:tcPr>
          <w:p>
            <w:r>
              <w:t>Касса и журнал поправок — примеры</w:t>
            </w:r>
          </w:p>
        </w:tc>
        <w:tc>
          <w:tcPr>
            <w:tcW w:type="dxa" w:w="2592"/>
          </w:tcPr>
          <w:p>
            <w:r>
              <w:t>examples/mesm_cash_example.csv; examples/mesm_corrections_example.csv</w:t>
            </w:r>
          </w:p>
        </w:tc>
        <w:tc>
          <w:tcPr>
            <w:tcW w:type="dxa" w:w="2592"/>
          </w:tcPr>
          <w:p>
            <w:r>
              <w:t>Кассовое движение, REFUND/ONE_OFF/ADVANCE/CARRYOVER</w:t>
            </w:r>
          </w:p>
        </w:tc>
        <w:tc>
          <w:tcPr>
            <w:tcW w:type="dxa" w:w="2592"/>
          </w:tcPr>
          <w:p>
            <w:r>
              <w:t>Демонстрационные данные. Пользовательский CSV рассчитывается в сессии, не сохраняется в API автоматически. Не является официальным исполнением Сургута.</w:t>
            </w:r>
          </w:p>
        </w:tc>
      </w:tr>
      <w:tr>
        <w:tc>
          <w:tcPr>
            <w:tcW w:type="dxa" w:w="2592"/>
          </w:tcPr>
          <w:p>
            <w:r>
              <w:t>Детекторы и сценарии</w:t>
            </w:r>
          </w:p>
        </w:tc>
        <w:tc>
          <w:tcPr>
            <w:tcW w:type="dxa" w:w="2592"/>
          </w:tcPr>
          <w:p>
            <w:r>
              <w:t>data/reports/competition/shock_calibration_summary.csv; shock_benchmark_summary.csv</w:t>
            </w:r>
          </w:p>
        </w:tc>
        <w:tc>
          <w:tcPr>
            <w:tcW w:type="dxa" w:w="2592"/>
          </w:tcPr>
          <w:p>
            <w:r>
              <w:t>FPR, выявление сдвига, задержки</w:t>
            </w:r>
          </w:p>
        </w:tc>
        <w:tc>
          <w:tcPr>
            <w:tcW w:type="dxa" w:w="2592"/>
          </w:tcPr>
          <w:p>
            <w:r>
              <w:t>Синтетическая проверка алгоритмов. Не оценка реального экономического эффекта.</w:t>
            </w:r>
          </w:p>
        </w:tc>
      </w:tr>
      <w:tr>
        <w:tc>
          <w:tcPr>
            <w:tcW w:type="dxa" w:w="2592"/>
          </w:tcPr>
          <w:p>
            <w:r>
              <w:t>ОКТМО</w:t>
            </w:r>
          </w:p>
        </w:tc>
        <w:tc>
          <w:tcPr>
            <w:tcW w:type="dxa" w:w="2592"/>
          </w:tcPr>
          <w:p>
            <w:r>
              <w:t>data/reference/municipality_registry.csv</w:t>
            </w:r>
          </w:p>
        </w:tc>
        <w:tc>
          <w:tcPr>
            <w:tcW w:type="dxa" w:w="2592"/>
          </w:tcPr>
          <w:p>
            <w:r>
              <w:t>Код, название, регион, история, статус</w:t>
            </w:r>
          </w:p>
        </w:tc>
        <w:tc>
          <w:tcPr>
            <w:tcW w:type="dxa" w:w="2592"/>
          </w:tcPr>
          <w:p>
            <w:r>
              <w:t>Проверяемый справочник: полноту кодов всех строк Reference и актуальность границ нужно обеспечить при переносе.</w:t>
            </w:r>
          </w:p>
        </w:tc>
      </w:tr>
    </w:tbl>
    <w:p>
      <w:r>
        <w:br w:type="page"/>
      </w:r>
    </w:p>
    <w:p>
      <w:pPr>
        <w:pStyle w:val="Heading1"/>
      </w:pPr>
      <w:r>
        <w:t>Требуемые данные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Приоритет</w:t>
            </w:r>
          </w:p>
        </w:tc>
        <w:tc>
          <w:tcPr>
            <w:tcW w:type="dxa" w:w="2074"/>
          </w:tcPr>
          <w:p>
            <w:r>
              <w:t>Что получить</w:t>
            </w:r>
          </w:p>
        </w:tc>
        <w:tc>
          <w:tcPr>
            <w:tcW w:type="dxa" w:w="2074"/>
          </w:tcPr>
          <w:p>
            <w:r>
              <w:t>Источник / формат</w:t>
            </w:r>
          </w:p>
        </w:tc>
        <w:tc>
          <w:tcPr>
            <w:tcW w:type="dxa" w:w="2074"/>
          </w:tcPr>
          <w:p>
            <w:r>
              <w:t>Обязательные сведения</w:t>
            </w:r>
          </w:p>
        </w:tc>
        <w:tc>
          <w:tcPr>
            <w:tcW w:type="dxa" w:w="2074"/>
          </w:tcPr>
          <w:p>
            <w:r>
              <w:t>Зачем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Месячная форма 0503117 за не менее 24–36 месяцев</w:t>
            </w:r>
          </w:p>
        </w:tc>
        <w:tc>
          <w:tcPr>
            <w:tcW w:type="dxa" w:w="2074"/>
          </w:tcPr>
          <w:p>
            <w:r>
              <w:t>Финорган / официальный бюджетный архив; XLSX предпочтительно</w:t>
            </w:r>
          </w:p>
        </w:tc>
        <w:tc>
          <w:tcPr>
            <w:tcW w:type="dxa" w:w="2074"/>
          </w:tcPr>
          <w:p>
            <w:r>
              <w:t>Муниципалитет, ОКТМО, месяц, версия, дата публикации, доходы/расходы/финансирование, КБК, единица, месячный/накопительный признак</w:t>
            </w:r>
          </w:p>
        </w:tc>
        <w:tc>
          <w:tcPr>
            <w:tcW w:type="dxa" w:w="2074"/>
          </w:tcPr>
          <w:p>
            <w:r>
              <w:t>Официальный месячный Reference и проверка реальных событий; не заменять годовой интерполяцией.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Оперативные кассовые выгрузки УФК</w:t>
            </w:r>
          </w:p>
        </w:tc>
        <w:tc>
          <w:tcPr>
            <w:tcW w:type="dxa" w:w="2074"/>
          </w:tcPr>
          <w:p>
            <w:r>
              <w:t>По согласованному доступу; CSV/XLSX</w:t>
            </w:r>
          </w:p>
        </w:tc>
        <w:tc>
          <w:tcPr>
            <w:tcW w:type="dxa" w:w="2074"/>
          </w:tcPr>
          <w:p>
            <w:r>
              <w:t>Дата операции и доступности, КБК/КФСР/КВР, целевая статья, сумма, сторона бюджета, document_id, preliminary_status</w:t>
            </w:r>
          </w:p>
        </w:tc>
        <w:tc>
          <w:tcPr>
            <w:tcW w:type="dxa" w:w="2074"/>
          </w:tcPr>
          <w:p>
            <w:r>
              <w:t>Оперативный кассовый контур. Исключить персональные и закрытые сведения из публичной сборки.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Начальные остатки и финансирование</w:t>
            </w:r>
          </w:p>
        </w:tc>
        <w:tc>
          <w:tcPr>
            <w:tcW w:type="dxa" w:w="2074"/>
          </w:tcPr>
          <w:p>
            <w:r>
              <w:t>Казначейский/финансовый источник</w:t>
            </w:r>
          </w:p>
        </w:tc>
        <w:tc>
          <w:tcPr>
            <w:tcW w:type="dxa" w:w="2074"/>
          </w:tcPr>
          <w:p>
            <w:r>
              <w:t>Остаток на начало периода, заимствования, погашения, переходящие остатки, единицы, дата</w:t>
            </w:r>
          </w:p>
        </w:tc>
        <w:tc>
          <w:tcPr>
            <w:tcW w:type="dxa" w:w="2074"/>
          </w:tcPr>
          <w:p>
            <w:r>
              <w:t>Чтобы дефицит условного ряда не выдавать за реальный кассовый разрыв.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Первоначальный план, уточнённый план и исполнение</w:t>
            </w:r>
          </w:p>
        </w:tc>
        <w:tc>
          <w:tcPr>
            <w:tcW w:type="dxa" w:w="2074"/>
          </w:tcPr>
          <w:p>
            <w:r>
              <w:t>Решения и приложения; XLSX/PDF</w:t>
            </w:r>
          </w:p>
        </w:tc>
        <w:tc>
          <w:tcPr>
            <w:tcW w:type="dxa" w:w="2074"/>
          </w:tcPr>
          <w:p>
            <w:r>
              <w:t>Номер версии, стадия, даты действия и публикации, налоговые/неналоговые/безвозмездные суммы</w:t>
            </w:r>
          </w:p>
        </w:tc>
        <w:tc>
          <w:tcPr>
            <w:tcW w:type="dxa" w:w="2074"/>
          </w:tcPr>
          <w:p>
            <w:r>
              <w:t>Явно фиксировать знаменатель отклонения; не смешивать разные базы.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Журнал утверждённых корректировок</w:t>
            </w:r>
          </w:p>
        </w:tc>
        <w:tc>
          <w:tcPr>
            <w:tcW w:type="dxa" w:w="2074"/>
          </w:tcPr>
          <w:p>
            <w:r>
              <w:t>Финорган; CSV/XLSX и документы</w:t>
            </w:r>
          </w:p>
        </w:tc>
        <w:tc>
          <w:tcPr>
            <w:tcW w:type="dxa" w:w="2074"/>
          </w:tcPr>
          <w:p>
            <w:r>
              <w:t>Тип, delta, текущий и целевой периоды, КБК/КВР, is_manual, effective_date, номер/дата документа, автор и основание</w:t>
            </w:r>
          </w:p>
        </w:tc>
        <w:tc>
          <w:tcPr>
            <w:tcW w:type="dxa" w:w="2074"/>
          </w:tcPr>
          <w:p>
            <w:r>
              <w:t>Сохранить сырую кассу; объяснять нормализацию и воспроизводить каждый шаг.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Сопоставимый Predictive-ряд и календарь доступности</w:t>
            </w:r>
          </w:p>
        </w:tc>
        <w:tc>
          <w:tcPr>
            <w:tcW w:type="dxa" w:w="2074"/>
          </w:tcPr>
          <w:p>
            <w:r>
              <w:t>ФНС / иной разрешённый агрегированный источник</w:t>
            </w:r>
          </w:p>
        </w:tc>
        <w:tc>
          <w:tcPr>
            <w:tcW w:type="dxa" w:w="2074"/>
          </w:tcPr>
          <w:p>
            <w:r>
              <w:t>Показатель, территория, частота, единица, значение, публикация, as_of, редакция</w:t>
            </w:r>
          </w:p>
        </w:tc>
        <w:tc>
          <w:tcPr>
            <w:tcW w:type="dxa" w:w="2074"/>
          </w:tcPr>
          <w:p>
            <w:r>
              <w:t>Проверка сопоставимости, сверка и отсутствие look-ahead до допуска к детекторам. Годовой 5-НДФЛ не даёт месячного lead time.</w:t>
            </w:r>
          </w:p>
        </w:tc>
      </w:tr>
      <w:tr>
        <w:tc>
          <w:tcPr>
            <w:tcW w:type="dxa" w:w="2074"/>
          </w:tcPr>
          <w:p>
            <w:r>
              <w:t>P0</w:t>
            </w:r>
          </w:p>
        </w:tc>
        <w:tc>
          <w:tcPr>
            <w:tcW w:type="dxa" w:w="2074"/>
          </w:tcPr>
          <w:p>
            <w:r>
              <w:t>Полная прослеживаемость каждого денежного компонента</w:t>
            </w:r>
          </w:p>
        </w:tc>
        <w:tc>
          <w:tcPr>
            <w:tcW w:type="dxa" w:w="2074"/>
          </w:tcPr>
          <w:p>
            <w:r>
              <w:t>Первичные PDF/XLSX</w:t>
            </w:r>
          </w:p>
        </w:tc>
        <w:tc>
          <w:tcPr>
            <w:tcW w:type="dxa" w:w="2074"/>
          </w:tcPr>
          <w:p>
            <w:r>
              <w:t>URL, имя и SHA-256, лист/страница, строка/ячейка/bbox, текст, метод, версия извлекателя</w:t>
            </w:r>
          </w:p>
        </w:tc>
        <w:tc>
          <w:tcPr>
            <w:tcW w:type="dxa" w:w="2074"/>
          </w:tcPr>
          <w:p>
            <w:r>
              <w:t>Включая additional_ndfl, исключения, обслуживание долга; воспроизводимая сверка единиц.</w:t>
            </w:r>
          </w:p>
        </w:tc>
      </w:tr>
      <w:tr>
        <w:tc>
          <w:tcPr>
            <w:tcW w:type="dxa" w:w="2074"/>
          </w:tcPr>
          <w:p>
            <w:r>
              <w:t>P1</w:t>
            </w:r>
          </w:p>
        </w:tc>
        <w:tc>
          <w:tcPr>
            <w:tcW w:type="dxa" w:w="2074"/>
          </w:tcPr>
          <w:p>
            <w:r>
              <w:t>РРО и местные бюджетные основания</w:t>
            </w:r>
          </w:p>
        </w:tc>
        <w:tc>
          <w:tcPr>
            <w:tcW w:type="dxa" w:w="2074"/>
          </w:tcPr>
          <w:p>
            <w:r>
              <w:t>Правовые акты собственного муниципалитета</w:t>
            </w:r>
          </w:p>
        </w:tc>
        <w:tc>
          <w:tcPr>
            <w:tcW w:type="dxa" w:w="2074"/>
          </w:tcPr>
          <w:p>
            <w:r>
              <w:t>Редакция, дата действия, обязательство, программа, статья, сумма, источник поправки</w:t>
            </w:r>
          </w:p>
        </w:tc>
        <w:tc>
          <w:tcPr>
            <w:tcW w:type="dxa" w:w="2074"/>
          </w:tcPr>
          <w:p>
            <w:r>
              <w:t>Проверка структуры обязательств и применимых ограничений. Акты Сургута нельзя переносить автоматически.</w:t>
            </w:r>
          </w:p>
        </w:tc>
      </w:tr>
      <w:tr>
        <w:tc>
          <w:tcPr>
            <w:tcW w:type="dxa" w:w="2074"/>
          </w:tcPr>
          <w:p>
            <w:r>
              <w:t>P1</w:t>
            </w:r>
          </w:p>
        </w:tc>
        <w:tc>
          <w:tcPr>
            <w:tcW w:type="dxa" w:w="2074"/>
          </w:tcPr>
          <w:p>
            <w:r>
              <w:t>Peer-данные и население того же периода</w:t>
            </w:r>
          </w:p>
        </w:tc>
        <w:tc>
          <w:tcPr>
            <w:tcW w:type="dxa" w:w="2074"/>
          </w:tcPr>
          <w:p>
            <w:r>
              <w:t>Росстат/региональный финансовый орган</w:t>
            </w:r>
          </w:p>
        </w:tc>
        <w:tc>
          <w:tcPr>
            <w:tcW w:type="dxa" w:w="2074"/>
          </w:tcPr>
          <w:p>
            <w:r>
              <w:t>Проверенные ОКТМО, население, сопоставимые доходы/долг, период и определение</w:t>
            </w:r>
          </w:p>
        </w:tc>
        <w:tc>
          <w:tcPr>
            <w:tcW w:type="dxa" w:w="2074"/>
          </w:tcPr>
          <w:p>
            <w:r>
              <w:t>Расчёт на душу и региональная медиана; состав peer-группы фиксируется заранее.</w:t>
            </w:r>
          </w:p>
        </w:tc>
      </w:tr>
      <w:tr>
        <w:tc>
          <w:tcPr>
            <w:tcW w:type="dxa" w:w="2074"/>
          </w:tcPr>
          <w:p>
            <w:r>
              <w:t>P1</w:t>
            </w:r>
          </w:p>
        </w:tc>
        <w:tc>
          <w:tcPr>
            <w:tcW w:type="dxa" w:w="2074"/>
          </w:tcPr>
          <w:p>
            <w:r>
              <w:t>Дефлятор, сезонность, календарь разовых событий</w:t>
            </w:r>
          </w:p>
        </w:tc>
        <w:tc>
          <w:tcPr>
            <w:tcW w:type="dxa" w:w="2074"/>
          </w:tcPr>
          <w:p>
            <w:r>
              <w:t>Росстат и утверждённая методика</w:t>
            </w:r>
          </w:p>
        </w:tc>
        <w:tc>
          <w:tcPr>
            <w:tcW w:type="dxa" w:w="2074"/>
          </w:tcPr>
          <w:p>
            <w:r>
              <w:t>Индекс/база, территория, месяц, публикация, версия; правило сезонности</w:t>
            </w:r>
          </w:p>
        </w:tc>
        <w:tc>
          <w:tcPr>
            <w:tcW w:type="dxa" w:w="2074"/>
          </w:tcPr>
          <w:p>
            <w:r>
              <w:t>Выбор номинального или реального ряда; параметры вычислять только по доступному прошлому.</w:t>
            </w:r>
          </w:p>
        </w:tc>
      </w:tr>
      <w:tr>
        <w:tc>
          <w:tcPr>
            <w:tcW w:type="dxa" w:w="2074"/>
          </w:tcPr>
          <w:p>
            <w:r>
              <w:t>P1</w:t>
            </w:r>
          </w:p>
        </w:tc>
        <w:tc>
          <w:tcPr>
            <w:tcW w:type="dxa" w:w="2074"/>
          </w:tcPr>
          <w:p>
            <w:r>
              <w:t>Эталонные события и цена ошибок</w:t>
            </w:r>
          </w:p>
        </w:tc>
        <w:tc>
          <w:tcPr>
            <w:tcW w:type="dxa" w:w="2074"/>
          </w:tcPr>
          <w:p>
            <w:r>
              <w:t>Исторические документы / согласование финансового органа</w:t>
            </w:r>
          </w:p>
        </w:tc>
        <w:tc>
          <w:tcPr>
            <w:tcW w:type="dxa" w:w="2074"/>
          </w:tcPr>
          <w:p>
            <w:r>
              <w:t>Начало, подтверждение, причины, действие, стоимость ошибки/задержки</w:t>
            </w:r>
          </w:p>
        </w:tc>
        <w:tc>
          <w:tcPr>
            <w:tcW w:type="dxa" w:w="2074"/>
          </w:tcPr>
          <w:p>
            <w:r>
              <w:t>Lead time, precision/recall, FPR на реальности, экономическая оценка.</w:t>
            </w:r>
          </w:p>
        </w:tc>
      </w:tr>
      <w:tr>
        <w:tc>
          <w:tcPr>
            <w:tcW w:type="dxa" w:w="2074"/>
          </w:tcPr>
          <w:p>
            <w:r>
              <w:t>P2</w:t>
            </w:r>
          </w:p>
        </w:tc>
        <w:tc>
          <w:tcPr>
            <w:tcW w:type="dxa" w:w="2074"/>
          </w:tcPr>
          <w:p>
            <w:r>
              <w:t>Подключение конкретного ИИ</w:t>
            </w:r>
          </w:p>
        </w:tc>
        <w:tc>
          <w:tcPr>
            <w:tcW w:type="dxa" w:w="2074"/>
          </w:tcPr>
          <w:p>
            <w:r>
              <w:t>Настройки вашего ИИ-клиента</w:t>
            </w:r>
          </w:p>
        </w:tc>
        <w:tc>
          <w:tcPr>
            <w:tcW w:type="dxa" w:w="2074"/>
          </w:tcPr>
          <w:p>
            <w:r>
              <w:t>Где работает клиент, поддержка HTTP, токен, допустимые данные и права</w:t>
            </w:r>
          </w:p>
        </w:tc>
        <w:tc>
          <w:tcPr>
            <w:tcW w:type="dxa" w:w="2074"/>
          </w:tcPr>
          <w:p>
            <w:r>
              <w:t>Локальный API готов; удалённый сервер, MCP или коннектор под конкретного поставщика внедряются отдельно.</w:t>
            </w:r>
          </w:p>
        </w:tc>
      </w:tr>
    </w:tbl>
    <w:p>
      <w:r>
        <w:br w:type="page"/>
      </w:r>
    </w:p>
    <w:p>
      <w:pPr>
        <w:pStyle w:val="Heading1"/>
      </w:pPr>
      <w:r>
        <w:t>Что выдаёт MESM</w:t>
      </w:r>
    </w:p>
    <w:p>
      <w:r>
        <w:t>API выдаёт таблицы с метаданными, общий HTML-отчёт, реестр источников и имеющуюся трассировку. Расчётные кассовые данные из сессии и реальные сигналы раннего предупреждения пока не выдаются. Состав столбцов соответствует текущим файлам; missing/null — отсутствие значения, а не ноль.</w:t>
      </w:r>
    </w:p>
    <w:p>
      <w:pPr>
        <w:pStyle w:val="Heading2"/>
      </w:pPr>
      <w:r>
        <w:t>Исходные годовые бюджетные суммы — reference_core</w:t>
      </w:r>
    </w:p>
    <w:p>
      <w:r>
        <w:t>Строк: 66; частота: annual; единица: Единицы должны быть сверены с исходным документом; статус: official_public. Источник: data/processed/official_quality_core_inputs_2023_2025.csv.</w:t>
      </w:r>
    </w:p>
    <w:p>
      <w:r>
        <w:t>Поля: year, municipality_name, tax_initial, nontax_initial, tax_actual, nontax_actual, program_expense, total_expense, budget_amendments, municipal_debt, own_revenue_base</w:t>
      </w:r>
    </w:p>
    <w:p>
      <w:pPr>
        <w:pStyle w:val="Heading2"/>
      </w:pPr>
      <w:r>
        <w:t>Годовые финансовые коэффициенты — fiscal_panel</w:t>
      </w:r>
    </w:p>
    <w:p>
      <w:r>
        <w:t>Строк: 66; частота: annual; единица: Доли, количество, ранг; статус: derived_official. Источник: data/processed/fiscal_reference_panel.csv.</w:t>
      </w:r>
    </w:p>
    <w:p>
      <w:r>
        <w:t>Поля: year, municipality_name, municipality_oktmo, period_end, frequency, income_plan_deviation, program_expense_share, budget_amendments, debt_load, quality_rank, article136_high_subsidy_flag, source_file, publication_date, data_status</w:t>
      </w:r>
    </w:p>
    <w:p>
      <w:pPr>
        <w:pStyle w:val="Heading2"/>
      </w:pPr>
      <w:r>
        <w:t>План бюджета — budget_official_plan</w:t>
      </w:r>
    </w:p>
    <w:p>
      <w:r>
        <w:t>Строк: 3; частота: annual; единица: тыс. руб.; статус: official_public. Источник: data/processed/official_budget_plan_surgut_2025_2027.csv.</w:t>
      </w:r>
    </w:p>
    <w:p>
      <w:r>
        <w:t>Поля: year, municipality_name, stage, total_revenue, revenue_base, additional_ndfl, legal_deficit_base, transfers, expenditure, deficit, financing_sources, eligible_exceptions, debt_upper_limit, debt_service, exceptions_status, source_document, source_url, publication_date, notes</w:t>
      </w:r>
    </w:p>
    <w:p>
      <w:pPr>
        <w:pStyle w:val="Heading2"/>
      </w:pPr>
      <w:r>
        <w:t>Структура бюджета — budget_project</w:t>
      </w:r>
    </w:p>
    <w:p>
      <w:r>
        <w:t>Строк: 47; частота: annual; единица: Сверить единицу amount с документом; статус: official_public. Источник: data/processed/official_budget_project_surgut_2025.csv.</w:t>
      </w:r>
    </w:p>
    <w:p>
      <w:r>
        <w:t>Поля: year, municipality_name, budget_side, group, item_name, amount, item_code, is_transfer, is_recurring, is_subvention, is_debt_service, is_borrowing, flexibility, source_file, notes</w:t>
      </w:r>
    </w:p>
    <w:p>
      <w:pPr>
        <w:pStyle w:val="Heading2"/>
      </w:pPr>
      <w:r>
        <w:t>Бюджетная обеспеченность — budget_provision</w:t>
      </w:r>
    </w:p>
    <w:p>
      <w:r>
        <w:t>Строк: 44; частота: annual; единица: Коэффициенты; денежные поля по источнику; статус: official_public. Источник: data/processed/budget_provision_history_2021_2023.csv.</w:t>
      </w:r>
    </w:p>
    <w:p>
      <w:r>
        <w:t>Поля: year, period, period_end, municipality_name, population, estimated_revenue, estimated_obligations, revenue_shortfall, bo_actual, bo_calculated, equalization_support, source_file, source_status</w:t>
      </w:r>
    </w:p>
    <w:p>
      <w:pPr>
        <w:pStyle w:val="Heading2"/>
      </w:pPr>
      <w:r>
        <w:t>Рейтинг качества управления — quality_rankings</w:t>
      </w:r>
    </w:p>
    <w:p>
      <w:r>
        <w:t>Строк: 66; частота: annual; единица: Ранг и признаки; статус: official_public. Источник: data/processed/official_quality_rankings_2023_2025.csv.</w:t>
      </w:r>
    </w:p>
    <w:p>
      <w:r>
        <w:t>Поля: year, municipality_name, article136_high_subsidy_flag, quality_score_workbook_value, budget_law_violation_count, rank, source_file, source_sheet</w:t>
      </w:r>
    </w:p>
    <w:p>
      <w:pPr>
        <w:pStyle w:val="Heading2"/>
      </w:pPr>
      <w:r>
        <w:t>Внешний месячный ряд — external_monthly</w:t>
      </w:r>
    </w:p>
    <w:p>
      <w:r>
        <w:t>Строк: 0; частота: monthly; единица: Поле unit; статус: external_unvalidated. Источник: data/processed/external_monthly.csv.</w:t>
      </w:r>
    </w:p>
    <w:p>
      <w:r>
        <w:t>Поля: Файл отсутствует. Контракт: period, geography_name, geography_level, variable, value, unit, source, publication_date, as_of_date</w:t>
      </w:r>
    </w:p>
    <w:p>
      <w:pPr>
        <w:pStyle w:val="Heading2"/>
      </w:pPr>
      <w:r>
        <w:t>5-НДФЛ: выгрузка Сургута — fns_5ndfl</w:t>
      </w:r>
    </w:p>
    <w:p>
      <w:r>
        <w:t>Строк: 15998; частота: annual; единица: Зависит от строки показателя; статус: connected_not_validated. Источник: data/external/fns_5ndfl_surgut.csv.</w:t>
      </w:r>
    </w:p>
    <w:p>
      <w:r>
        <w:t>Поля: indicator_name, indicator_unit, indicator_code, individual_type, income, deduction, tax_rate, object_name, object_level, object_oktmo, oktmo_stable, oktmo_history, oktmo_year_from, oktmo_year_to, year, indicator_period, indicator_value, null_value_reason, report_region_id, report_region_name, report_date, report_type, tax_authority, index_form, source</w:t>
      </w:r>
    </w:p>
    <w:p>
      <w:pPr>
        <w:pStyle w:val="Heading2"/>
      </w:pPr>
      <w:r>
        <w:t>Калибровка детекторов — shock_calibration</w:t>
      </w:r>
    </w:p>
    <w:p>
      <w:r>
        <w:t>Строк: 3; частота: scenario; единица: Доля ложных тревог; статус: synthetic. Источник: data/reports/competition/shock_calibration_summary.csv.</w:t>
      </w:r>
    </w:p>
    <w:p>
      <w:r>
        <w:t>Поля: detector, parameter, null_path_fpr, target_met</w:t>
      </w:r>
    </w:p>
    <w:p>
      <w:pPr>
        <w:pStyle w:val="Heading2"/>
      </w:pPr>
      <w:r>
        <w:t>Расчёт увязки бюджетного плана — budget_calculations</w:t>
      </w:r>
    </w:p>
    <w:p>
      <w:r>
        <w:t>Строк: 3; частота: annual; единица: тыс. руб.; статус: derived_official. Источник: data/processed/official_budget_plan_surgut_2025_2027.csv.</w:t>
      </w:r>
    </w:p>
    <w:p>
      <w:r>
        <w:t>Поля: municipality_name, year, stage, total_revenue, expenditure, financing_sources, calculated_deficit, uncovered_plan_need, unit, interpretation</w:t>
      </w:r>
    </w:p>
    <w:p>
      <w:pPr>
        <w:pStyle w:val="Heading1"/>
      </w:pPr>
      <w:r>
        <w:t>Расчёты и проверяемые выводы</w:t>
      </w:r>
    </w:p>
    <w:p>
      <w:pPr>
        <w:pStyle w:val="Heading2"/>
      </w:pPr>
      <w:r>
        <w:t>Дефицит плана</w:t>
      </w:r>
    </w:p>
    <w:p>
      <w:r>
        <w:t>D = расходы − доходы</w:t>
      </w:r>
    </w:p>
    <w:p>
      <w:r>
        <w:t>Единица обеих сумм одинакова; не является кассовым остатком.</w:t>
      </w:r>
    </w:p>
    <w:p>
      <w:pPr>
        <w:pStyle w:val="Heading2"/>
      </w:pPr>
      <w:r>
        <w:t>Непокрытая плановая потребность</w:t>
      </w:r>
    </w:p>
    <w:p>
      <w:r>
        <w:t>G = max(D − финансирование, 0)</w:t>
      </w:r>
    </w:p>
    <w:p>
      <w:r>
        <w:t>G=0 доказывает арифметическое покрытие плана; не доказывает исполнение или правовое соответствие.</w:t>
      </w:r>
    </w:p>
    <w:p>
      <w:pPr>
        <w:pStyle w:val="Heading2"/>
      </w:pPr>
      <w:r>
        <w:t>База ограничения дефицита</w:t>
      </w:r>
    </w:p>
    <w:p>
      <w:r>
        <w:t>legal_deficit_base = revenue_base − additional_ndfl</w:t>
      </w:r>
    </w:p>
    <w:p>
      <w:r>
        <w:t>revenue_base — налоговые и неналоговые доходы; трансферты повторно не вычитать. Источник additional_ndfl проследить.</w:t>
      </w:r>
    </w:p>
    <w:p>
      <w:pPr>
        <w:pStyle w:val="Heading2"/>
      </w:pPr>
      <w:r>
        <w:t>Отклонение доходов</w:t>
      </w:r>
    </w:p>
    <w:p>
      <w:r>
        <w:t>(факт налоговых + факт неналоговых − первоначальный план налоговых − первоначальный план неналоговых) / первоначальный план собственных доходов</w:t>
      </w:r>
    </w:p>
    <w:p>
      <w:r>
        <w:t>Нулевой знаменатель требует отдельной обработки. Уточнённый план — другая база.</w:t>
      </w:r>
    </w:p>
    <w:p>
      <w:pPr>
        <w:pStyle w:val="Heading2"/>
      </w:pPr>
      <w:r>
        <w:t>Программные расходы</w:t>
      </w:r>
    </w:p>
    <w:p>
      <w:r>
        <w:t>program_expense / total_expense</w:t>
      </w:r>
    </w:p>
    <w:p>
      <w:r>
        <w:t>Доля ×100 = проценты; проверить состав программных расходов.</w:t>
      </w:r>
    </w:p>
    <w:p>
      <w:pPr>
        <w:pStyle w:val="Heading2"/>
      </w:pPr>
      <w:r>
        <w:t>Кассовый остаток</w:t>
      </w:r>
    </w:p>
    <w:p>
      <w:r>
        <w:t>начальный остаток + накопленные доходы + финансирование − расходы − повторно учтённые переходящие остатки</w:t>
      </w:r>
    </w:p>
    <w:p>
      <w:r>
        <w:t>Требуется реальный начальный остаток; нормализация не переписывает исходные операции.</w:t>
      </w:r>
    </w:p>
    <w:p>
      <w:pPr>
        <w:pStyle w:val="Heading2"/>
      </w:pPr>
      <w:r>
        <w:t>Регулярные доходы</w:t>
      </w:r>
    </w:p>
    <w:p>
      <w:r>
        <w:t>сырая касса + сумма допущенных поправок</w:t>
      </w:r>
    </w:p>
    <w:p>
      <w:r>
        <w:t>Тип поправки и знак фиксируются отдельно. Возврат/аванс переносится между периодами, разовые суммы исключаются из аналитического ряда.</w:t>
      </w:r>
    </w:p>
    <w:p>
      <w:pPr>
        <w:pStyle w:val="Heading2"/>
      </w:pPr>
      <w:r>
        <w:t>Ошибка и сигнал</w:t>
      </w:r>
    </w:p>
    <w:p>
      <w:r>
        <w:t>ошибка = факт − прогноз; z = (ошибка − среднее ошибки) / стандартное отклонение ошибки</w:t>
      </w:r>
    </w:p>
    <w:p>
      <w:r>
        <w:t>Прогноз и параметры нормирования используют доступное прошлое; лаборатория не является реальным сигналом.</w:t>
      </w:r>
    </w:p>
    <w:p>
      <w:pPr>
        <w:pStyle w:val="Heading2"/>
      </w:pPr>
      <w:r>
        <w:t>Опережение</w:t>
      </w:r>
    </w:p>
    <w:p>
      <w:r>
        <w:t>LeadTime = дата подтверждения Reference − дата Predictive-сигнала</w:t>
      </w:r>
    </w:p>
    <w:p>
      <w:r>
        <w:t>Требуется реальная история публикаций и событий. Сейчас не доказано.</w:t>
      </w:r>
    </w:p>
    <w:p>
      <w:pPr>
        <w:pStyle w:val="Heading2"/>
      </w:pPr>
      <w:r>
        <w:t>Сверка</w:t>
      </w:r>
    </w:p>
    <w:p>
      <w:r>
        <w:t>Корреляция Pearson на сопоставимых перекрывающихся периодах</w:t>
      </w:r>
    </w:p>
    <w:p>
      <w:r>
        <w:t>Корреляция не доказывает причинность, независимость или опережение. Проверить минимум наблюдений и постоянные ряды.</w:t>
      </w:r>
    </w:p>
    <w:p>
      <w:pPr>
        <w:pStyle w:val="Heading1"/>
      </w:pPr>
      <w:r>
        <w:t>Порядок проверки и повторения</w:t>
      </w:r>
    </w:p>
    <w:p>
      <w:r>
        <w:t>1. Сверить идентификатор муниципалитета, границы и период.</w:t>
      </w:r>
    </w:p>
    <w:p>
      <w:r>
        <w:t>2. Открыть первичный документ по ссылке; проверить страницу/лист, единицу и исходное число.</w:t>
      </w:r>
    </w:p>
    <w:p>
      <w:r>
        <w:t>3. Разделить первоначальный план, уточнения, факт и дату доступности.</w:t>
      </w:r>
    </w:p>
    <w:p>
      <w:r>
        <w:t>4. Повторить формулу вручную и сопоставить число в таблице, графике и отчёте.</w:t>
      </w:r>
    </w:p>
    <w:p>
      <w:r>
        <w:t>5. Проверить поправки, начальные остатки, сезонность и реальный/номинальный режим.</w:t>
      </w:r>
    </w:p>
    <w:p>
      <w:r>
        <w:t>6. Проверить peer-группу и ограничения применимости местных норм.</w:t>
      </w:r>
    </w:p>
    <w:p>
      <w:r>
        <w:t>7. Проверить train/holdout и отсутствие использования будущих публикаций.</w:t>
      </w:r>
    </w:p>
    <w:p>
      <w:r>
        <w:t>8. Запустить тесты, локальную панель и API; проверить авторизацию и фильтр чужого города.</w:t>
      </w:r>
    </w:p>
    <w:p>
      <w:r>
        <w:t>9. Зафиксировать снимок и версии; обновить протокол H1–H5 только на основании отдельного теста гипотезы.</w:t>
      </w:r>
    </w:p>
    <w:p>
      <w:r>
        <w:t>Подробный порядок подключения и переноса: docs/35_data_access_and_replication.md. Текущий перенос не является автоматическим парсером произвольного муниципального PDF. У нового города должны быть собственные источники и подтверждённые данные. Местные акты Сургута и страницы PDF №713 не используются как доказательство для других городов.</w:t>
      </w:r>
    </w:p>
    <w:p>
      <w:r>
        <w:t>Гипотезы проекта: H1 — качество прогноза, H2 — раннее опережение, H3 — польза двух контуров, H4 — экономическая полезность, H5 — адаптация. Этот каталог не подтверждает ни одну из них. Синтетическая калибровка детекторов выделена отдельно.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MESM 1.12.0 • Рабочий реестр данных и проверки • 06.10.2026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