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E82" w:rsidRPr="00725E82" w:rsidRDefault="00725E82" w:rsidP="00725E82">
      <w:pPr>
        <w:jc w:val="center"/>
        <w:rPr>
          <w:b/>
        </w:rPr>
      </w:pPr>
      <w:r w:rsidRPr="00725E82">
        <w:rPr>
          <w:b/>
        </w:rPr>
        <w:t>Аналитическая работа</w:t>
      </w:r>
    </w:p>
    <w:p w:rsidR="00FE6F57" w:rsidRPr="000755B7" w:rsidRDefault="00B04863">
      <w:r>
        <w:t xml:space="preserve">1) </w:t>
      </w:r>
      <w:r w:rsidR="009E631A">
        <w:t>Из реестра предпринимателей были отобраны юридические лица, а именно малые и средние предприятия с основным видом деятельности 41.20 – Строительство жилых и нежилых зданий. Общее число таких предпринимателей составило 8,9 тысяч, из которых случайным образом была отобрана 1000 компаний. После запросов к данным ФНС осталось 938 компаний для анализа.</w:t>
      </w:r>
      <w:r w:rsidR="000755B7">
        <w:t xml:space="preserve"> При расчете </w:t>
      </w:r>
      <w:r w:rsidR="000755B7">
        <w:rPr>
          <w:lang w:val="en-US"/>
        </w:rPr>
        <w:t>EBITA</w:t>
      </w:r>
      <w:r w:rsidR="000755B7" w:rsidRPr="000755B7">
        <w:t xml:space="preserve"> </w:t>
      </w:r>
      <w:r w:rsidR="000755B7">
        <w:t xml:space="preserve">использовался показатель амортизации нематериальных активов, а при его отсутствии – брался показатель </w:t>
      </w:r>
      <w:r w:rsidR="000755B7">
        <w:rPr>
          <w:lang w:val="en-US"/>
        </w:rPr>
        <w:t>EBIT</w:t>
      </w:r>
      <w:r w:rsidR="000755B7" w:rsidRPr="000755B7">
        <w:t xml:space="preserve"> </w:t>
      </w:r>
      <w:r w:rsidR="000755B7">
        <w:t xml:space="preserve">как приближенное значение </w:t>
      </w:r>
      <w:r w:rsidR="000755B7">
        <w:rPr>
          <w:lang w:val="en-US"/>
        </w:rPr>
        <w:t>EBITA</w:t>
      </w:r>
      <w:r w:rsidR="000755B7" w:rsidRPr="000755B7">
        <w:t>.</w:t>
      </w:r>
    </w:p>
    <w:p w:rsidR="009E631A" w:rsidRPr="00472548" w:rsidRDefault="00B04863">
      <w:r>
        <w:t xml:space="preserve">2) </w:t>
      </w:r>
      <w:r w:rsidR="009E631A">
        <w:t xml:space="preserve">Для каждой компании был рассчитан показатель </w:t>
      </w:r>
      <w:r w:rsidR="009E631A">
        <w:rPr>
          <w:lang w:val="en-US"/>
        </w:rPr>
        <w:t>EBITA</w:t>
      </w:r>
      <w:r w:rsidR="009E631A" w:rsidRPr="009E631A">
        <w:t xml:space="preserve"> за 2024-2025 гг.,</w:t>
      </w:r>
      <w:r w:rsidR="009E631A">
        <w:t xml:space="preserve"> его изменение, а также изменение чистой прибыли за аналогичный период. Среднее значение </w:t>
      </w:r>
      <w:r w:rsidR="009E631A">
        <w:rPr>
          <w:lang w:val="en-US"/>
        </w:rPr>
        <w:t>EBITA</w:t>
      </w:r>
      <w:r w:rsidR="009E631A" w:rsidRPr="009E631A">
        <w:t xml:space="preserve"> </w:t>
      </w:r>
      <w:r w:rsidR="009E631A">
        <w:t>в 2024 г. составило 10 756 тыс. руб., в 2025 г. – 14 640 тыс. руб. В то же время медианное значение этого показателя – 202 тыс. руб. и 206 тыс. руб. в 2024 и 2025 гг. соответственно. В 202</w:t>
      </w:r>
      <w:r w:rsidR="00472548">
        <w:t>5</w:t>
      </w:r>
      <w:r w:rsidR="009E631A">
        <w:t xml:space="preserve"> году только у </w:t>
      </w:r>
      <w:r w:rsidR="00472548">
        <w:t>55</w:t>
      </w:r>
      <w:r w:rsidR="009E631A">
        <w:t xml:space="preserve">% </w:t>
      </w:r>
      <w:r w:rsidR="00472548">
        <w:t>выборки (520</w:t>
      </w:r>
      <w:r w:rsidR="009E631A">
        <w:t xml:space="preserve"> компаний) было положительное значение </w:t>
      </w:r>
      <w:r w:rsidR="009E631A">
        <w:rPr>
          <w:lang w:val="en-US"/>
        </w:rPr>
        <w:t>EBITA</w:t>
      </w:r>
      <w:r w:rsidR="00472548">
        <w:t xml:space="preserve">. Всего 37% компаний увеличили </w:t>
      </w:r>
      <w:r w:rsidR="00472548">
        <w:rPr>
          <w:lang w:val="en-US"/>
        </w:rPr>
        <w:t xml:space="preserve">EBITA </w:t>
      </w:r>
      <w:r w:rsidR="00472548">
        <w:t>с 2024 на 2025 гг.</w:t>
      </w:r>
    </w:p>
    <w:p w:rsidR="00B04863" w:rsidRDefault="00B04863">
      <w:r>
        <w:t xml:space="preserve">Разница между средним и медианным значением говорит наличии нескольких крупнейших компаний, у которых рассматриваемый показатель значительно выше среднего значения среди других предприятий выборки. При этом изменение среднего и медианного значений в 2024-2025 гг. говорят о том, что рост наблюдался только у этих крупных участников, в то время как у остальных показатель </w:t>
      </w:r>
      <w:r>
        <w:rPr>
          <w:lang w:val="en-US"/>
        </w:rPr>
        <w:t>EBITA</w:t>
      </w:r>
      <w:r w:rsidRPr="00B04863">
        <w:t xml:space="preserve"> </w:t>
      </w:r>
      <w:r>
        <w:t>практически не изменился.</w:t>
      </w:r>
    </w:p>
    <w:p w:rsidR="00841ED9" w:rsidRPr="00841ED9" w:rsidRDefault="00841ED9">
      <w:r>
        <w:t xml:space="preserve">Увеличение доли компаний с положительным показателем </w:t>
      </w:r>
      <w:r>
        <w:rPr>
          <w:lang w:val="en-US"/>
        </w:rPr>
        <w:t>EBITA</w:t>
      </w:r>
      <w:r w:rsidRPr="00841ED9">
        <w:t xml:space="preserve"> </w:t>
      </w:r>
      <w:r>
        <w:t>в 2024-2025 гг. говорит об улучшении состояния отрасли, однако все еще не позволяет считать комфортным положение всех или большинства компаний в ней.</w:t>
      </w:r>
    </w:p>
    <w:p w:rsidR="009E631A" w:rsidRDefault="00B04863">
      <w:r>
        <w:t>3) На графике представлены данные об изменении чистой прибыли компаний выборки в 2024-2025 гг. Для корректного отображения графика из данных для его построения были исключены выбросы, находящиеся за пределами диапазона от -150% до 150%</w:t>
      </w:r>
      <w:r w:rsidR="00841ED9">
        <w:t xml:space="preserve"> роста чистой прибыли.</w:t>
      </w:r>
    </w:p>
    <w:p w:rsidR="00841ED9" w:rsidRDefault="00841ED9">
      <w:r>
        <w:t>Наблюдается неоднородность результатов, так как присутствуют как компании с существенным снижением прибыли, так и с заметным ростом. Однако, если все же выделять какую-либо тенденцию, можно заметить, что число компаний в левой половине графика («отрицательной») несколько превышает число в правой половине. Это говорит о том, что в рассматриваемом году у большинства компаний из выборки чистая прибыль уменьшилась.</w:t>
      </w:r>
    </w:p>
    <w:p w:rsidR="00B04863" w:rsidRDefault="00B04863">
      <w:r w:rsidRPr="00B04863">
        <w:drawing>
          <wp:inline distT="0" distB="0" distL="0" distR="0" wp14:anchorId="0314C00B" wp14:editId="4AEFDA0B">
            <wp:extent cx="5940425" cy="2800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D9" w:rsidRDefault="00B04863">
      <w:r>
        <w:lastRenderedPageBreak/>
        <w:t>4) По данным о месте регистрации предприятий была составлена карта для 500 компаний из выборки с наибольшей выручкой в 2025 году.</w:t>
      </w:r>
      <w:r w:rsidR="00841ED9">
        <w:t xml:space="preserve"> По карте видно, что наибольшая концентрация крупнейших компаний строительной отрасли приходится </w:t>
      </w:r>
      <w:r w:rsidR="000755B7">
        <w:t>европейскую часть России. Однако отдельные крупные компании также зарегистрированы на Урале, в Сибири, на Дальнем Востоке, на юге России.</w:t>
      </w:r>
      <w:bookmarkStart w:id="0" w:name="_GoBack"/>
      <w:bookmarkEnd w:id="0"/>
    </w:p>
    <w:p w:rsidR="00B04863" w:rsidRPr="009E631A" w:rsidRDefault="00B04863">
      <w:r w:rsidRPr="00B04863">
        <w:drawing>
          <wp:inline distT="0" distB="0" distL="0" distR="0" wp14:anchorId="5F8DA9F0" wp14:editId="192FFDDF">
            <wp:extent cx="5940425" cy="1988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863" w:rsidRPr="009E6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31A"/>
    <w:rsid w:val="000755B7"/>
    <w:rsid w:val="00472548"/>
    <w:rsid w:val="00725E82"/>
    <w:rsid w:val="00841ED9"/>
    <w:rsid w:val="00965C2D"/>
    <w:rsid w:val="009E631A"/>
    <w:rsid w:val="00B04863"/>
    <w:rsid w:val="00EE4D5F"/>
    <w:rsid w:val="00F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85568"/>
  <w15:chartTrackingRefBased/>
  <w15:docId w15:val="{8D4EEDAC-2628-4F2E-BDB0-AADCA4496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4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Толмачев</dc:creator>
  <cp:keywords/>
  <dc:description/>
  <cp:lastModifiedBy>Кирилл Толмачев</cp:lastModifiedBy>
  <cp:revision>2</cp:revision>
  <dcterms:created xsi:type="dcterms:W3CDTF">2026-10-11T09:57:00Z</dcterms:created>
  <dcterms:modified xsi:type="dcterms:W3CDTF">2026-10-11T11:17:00Z</dcterms:modified>
</cp:coreProperties>
</file>