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06152869" w:rsidR="00105BCD" w:rsidRPr="00C427FB" w:rsidRDefault="00C807FC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327509E9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 xml:space="preserve">«Линейная </w:t>
      </w:r>
      <w:r>
        <w:rPr>
          <w:rFonts w:ascii="Times New Roman" w:hAnsi="Times New Roman"/>
          <w:sz w:val="28"/>
          <w:szCs w:val="28"/>
          <w:lang w:eastAsia="ru-RU"/>
        </w:rPr>
        <w:t>регрессия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3E90890" w:rsidR="003757F5" w:rsidRPr="00C807FC" w:rsidRDefault="00105BCD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C427FB">
        <w:rPr>
          <w:rFonts w:ascii="Times New Roman" w:hAnsi="Times New Roman"/>
          <w:sz w:val="28"/>
          <w:szCs w:val="20"/>
          <w:lang w:eastAsia="ru-RU"/>
        </w:rPr>
        <w:t>Минск 201</w:t>
      </w:r>
      <w:r w:rsidR="0028098F" w:rsidRPr="00C807FC">
        <w:rPr>
          <w:rFonts w:ascii="Times New Roman" w:hAnsi="Times New Roman"/>
          <w:sz w:val="28"/>
          <w:szCs w:val="20"/>
          <w:lang w:eastAsia="ru-RU"/>
        </w:rPr>
        <w:t>9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</w:t>
      </w:r>
      <w:proofErr w:type="spellStart"/>
      <w:r w:rsidRPr="00C807FC">
        <w:rPr>
          <w:sz w:val="28"/>
          <w:szCs w:val="28"/>
        </w:rPr>
        <w:t>contour</w:t>
      </w:r>
      <w:proofErr w:type="spellEnd"/>
      <w:r w:rsidRPr="00C807FC">
        <w:rPr>
          <w:sz w:val="28"/>
          <w:szCs w:val="28"/>
        </w:rPr>
        <w:t xml:space="preserve"> </w:t>
      </w:r>
      <w:proofErr w:type="spellStart"/>
      <w:r w:rsidRPr="00C807FC">
        <w:rPr>
          <w:sz w:val="28"/>
          <w:szCs w:val="28"/>
        </w:rPr>
        <w:t>plot</w:t>
      </w:r>
      <w:proofErr w:type="spellEnd"/>
      <w:r w:rsidRPr="00C807FC">
        <w:rPr>
          <w:sz w:val="28"/>
          <w:szCs w:val="28"/>
        </w:rPr>
        <w:t>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lastRenderedPageBreak/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>(y)</w:t>
      </w:r>
      <w:r w:rsidRPr="00D94AEC">
        <w:rPr>
          <w:rFonts w:ascii="Consolas" w:hAnsi="Consolas"/>
          <w:sz w:val="18"/>
          <w:szCs w:val="18"/>
        </w:rPr>
        <w:t xml:space="preserve">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Код функции потерь:</w:t>
      </w:r>
    </w:p>
    <w:p w14:paraId="5DACAFE8" w14:textId="1A1220F0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sz w:val="28"/>
          <w:szCs w:val="28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sz w:val="28"/>
          <w:szCs w:val="28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140C91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file_path = os.path.join(os.path.dirname(__file__), 'data', 'ex1data2.csv')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140C91">
        <w:rPr>
          <w:rFonts w:ascii="Consolas" w:hAnsi="Consolas"/>
          <w:noProof/>
          <w:sz w:val="18"/>
          <w:szCs w:val="18"/>
          <w:lang w:val="en-US" w:eastAsia="ru-RU"/>
        </w:rPr>
        <w:t xml:space="preserve">    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DFBECFF" w14:textId="781A13FC" w:rsidR="00140C91" w:rsidRPr="00375677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я не смог визуализировать эту разницу, потому что в реализации на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ачинают выходить за минимально допустимую точность, и как результат без нормализации не предоставляется возможным вычислить радиентный спуск (хотя в изначальной реализации </w:t>
      </w:r>
      <w:r w:rsidR="00375677">
        <w:rPr>
          <w:rFonts w:ascii="Times New Roman" w:hAnsi="Times New Roman"/>
          <w:noProof/>
          <w:sz w:val="28"/>
          <w:szCs w:val="28"/>
          <w:lang w:val="en-US" w:eastAsia="ru-RU"/>
        </w:rPr>
        <w:t>Octave</w:t>
      </w:r>
      <w:r w:rsidR="00375677" w:rsidRPr="00375677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эти вычисления были возможны – где-то читал, что в этих двух вариантх представление чисел в памяти реализовано по-разному).</w:t>
      </w:r>
    </w:p>
    <w:p w14:paraId="3BBFF320" w14:textId="27D35290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Код реализации:</w:t>
      </w:r>
    </w:p>
    <w:p w14:paraId="71131C33" w14:textId="207B1600" w:rsidR="00375677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375677">
        <w:rPr>
          <w:rFonts w:ascii="Consolas" w:hAnsi="Consolas"/>
          <w:noProof/>
          <w:sz w:val="18"/>
          <w:szCs w:val="18"/>
          <w:lang w:eastAsia="ru-RU"/>
        </w:rPr>
        <w:t>return [theta, J_history]</w:t>
      </w:r>
    </w:p>
    <w:p w14:paraId="5DBFB9A3" w14:textId="77777777" w:rsidR="00375677" w:rsidRPr="00375677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157E9B" w14:textId="179A0835" w:rsidR="00140C91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 приведён ниже: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bookmarkStart w:id="1" w:name="_GoBack"/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140C91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D922F0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</w:rPr>
      </w:pPr>
    </w:p>
    <w:p w14:paraId="00C91731" w14:textId="77777777" w:rsidR="004C3882" w:rsidRPr="00D922F0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</w:rPr>
      </w:pPr>
    </w:p>
    <w:p w14:paraId="75755418" w14:textId="77777777" w:rsidR="0053746F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bookmarkEnd w:id="0"/>
    <w:p w14:paraId="45407B52" w14:textId="1FE9381E" w:rsidR="00D62409" w:rsidRPr="00D62409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1F825771" w14:textId="57AF1402" w:rsidR="00065110" w:rsidRPr="00C427FB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</w:p>
    <w:sectPr w:rsidR="00065110" w:rsidRPr="00C427FB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31E0D" w14:textId="77777777" w:rsidR="000F192A" w:rsidRDefault="000F192A" w:rsidP="0082793E">
      <w:pPr>
        <w:spacing w:after="0" w:line="240" w:lineRule="auto"/>
      </w:pPr>
      <w:r>
        <w:separator/>
      </w:r>
    </w:p>
  </w:endnote>
  <w:endnote w:type="continuationSeparator" w:id="0">
    <w:p w14:paraId="2A4CEED2" w14:textId="77777777" w:rsidR="000F192A" w:rsidRDefault="000F192A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1D1330B5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375677">
          <w:rPr>
            <w:rFonts w:ascii="Times New Roman" w:hAnsi="Times New Roman"/>
            <w:noProof/>
            <w:sz w:val="28"/>
            <w:szCs w:val="28"/>
          </w:rPr>
          <w:t>13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332B9" w14:textId="77777777" w:rsidR="000F192A" w:rsidRDefault="000F192A" w:rsidP="0082793E">
      <w:pPr>
        <w:spacing w:after="0" w:line="240" w:lineRule="auto"/>
      </w:pPr>
      <w:r>
        <w:separator/>
      </w:r>
    </w:p>
  </w:footnote>
  <w:footnote w:type="continuationSeparator" w:id="0">
    <w:p w14:paraId="2500BA04" w14:textId="77777777" w:rsidR="000F192A" w:rsidRDefault="000F192A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38CF-CA26-438A-B087-4DEA1CA2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Kiryl Ziusko</cp:lastModifiedBy>
  <cp:revision>3</cp:revision>
  <cp:lastPrinted>2018-04-21T16:21:00Z</cp:lastPrinted>
  <dcterms:created xsi:type="dcterms:W3CDTF">2019-11-04T15:28:00Z</dcterms:created>
  <dcterms:modified xsi:type="dcterms:W3CDTF">2019-11-04T16:47:00Z</dcterms:modified>
</cp:coreProperties>
</file>