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Vladimir Kirilyuk</w:t>
      </w:r>
    </w:p>
    <w:p>
      <w:pPr>
        <w:spacing w:after="80" w:line="240" w:lineRule="auto"/>
      </w:pPr>
      <w:r>
        <w:rPr>
          <w:rFonts w:ascii="Calibri" w:hAnsi="Calibri"/>
          <w:b w:val="0"/>
          <w:i w:val="0"/>
          <w:sz w:val="22"/>
        </w:rPr>
        <w:t>Platform Product Designer · Internal Tools · FinTech · AI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Email: kirilyukvv@gmail.com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LinkedIn: https://www.linkedin.com/in/kirilyuk-dsgn/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Portfolio: https://www.behance.net/kirilyukme</w:t>
      </w:r>
    </w:p>
    <w:p>
      <w:pPr>
        <w:spacing w:after="40" w:line="240" w:lineRule="auto"/>
      </w:pPr>
      <w:r>
        <w:rPr>
          <w:rFonts w:ascii="Calibri" w:hAnsi="Calibri"/>
          <w:b w:val="0"/>
          <w:i w:val="0"/>
          <w:sz w:val="22"/>
        </w:rPr>
        <w:t>Location: Almaty, Kazakhstan · Open to relocation</w:t>
      </w:r>
    </w:p>
    <w:p/>
    <w:p>
      <w:pPr>
        <w:pStyle w:val="Heading2"/>
      </w:pPr>
      <w:r>
        <w:t>Professional Summary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Product designer with 8+ years building complex internal platforms in fintech. I turn fragmented operational workflows into scalable, multi-role tools — mapping end-to-end states across node-based orchestration, data-heavy tables, compliance-aware approvals, and AI-assisted production. At Tinkoff, led design across 12+ areas of an internal CVM platform used by marketing operations, content specialists, and technologists at financial-services scale. Strong partner to product owners, engineers, data teams, and operations managers; comfortable with backend-driven constraints, dense interfaces, and regulated environments.</w:t>
      </w:r>
    </w:p>
    <w:p>
      <w:pPr>
        <w:pStyle w:val="Heading2"/>
      </w:pPr>
      <w:r>
        <w:t>Core Skills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Platform &amp; Internal Tools Design · Complex Workflow Architecture · Data-Dense UIs · Operational UX · FinTech · AI Tooling · Design Systems · Information Architecture · Backend-Driven Workflows · Multi-Step Process Design · Cross-Functional Collaboration · Product Strategy · Prototyping · Typography &amp; Layout Systems · Figma · Vibecoding</w:t>
      </w:r>
    </w:p>
    <w:p>
      <w:pPr>
        <w:pStyle w:val="Heading2"/>
      </w:pPr>
      <w:r>
        <w:t>Experience</w:t>
      </w:r>
    </w:p>
    <w:p>
      <w:pPr>
        <w:pStyle w:val="Heading3"/>
      </w:pPr>
      <w:r>
        <w:t>Tinkoff — Lead Product Designer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Remote · Mar 2022 to Present · 4 yrs 1 mo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Touch — internal platform for global financial operations: campaign orchestration, audience management, content production, and marketing automation.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Architected </w:t>
      </w:r>
      <w:r>
        <w:rPr>
          <w:rFonts w:ascii="Calibri" w:hAnsi="Calibri"/>
          <w:b/>
          <w:sz w:val="22"/>
        </w:rPr>
        <w:t>Touch Campaign Creation</w:t>
      </w:r>
      <w:r>
        <w:rPr>
          <w:rFonts w:ascii="Calibri" w:hAnsi="Calibri"/>
          <w:b w:val="0"/>
          <w:sz w:val="22"/>
        </w:rPr>
        <w:t xml:space="preserve"> — consolidated audience targeting, multi-channel creatives, A/B testing, and multi-role approval (Editor, Designer, Technologist) into one end-to-end flow; replaced scattered handoffs across disconnected internal tools.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Led design of </w:t>
      </w:r>
      <w:r>
        <w:rPr>
          <w:rFonts w:ascii="Calibri" w:hAnsi="Calibri"/>
          <w:b/>
          <w:sz w:val="22"/>
        </w:rPr>
        <w:t>Caen (Campaign Engine)</w:t>
      </w:r>
      <w:r>
        <w:rPr>
          <w:rFonts w:ascii="Calibri" w:hAnsi="Calibri"/>
          <w:b w:val="0"/>
          <w:sz w:val="22"/>
        </w:rPr>
        <w:t xml:space="preserve"> — node-based workflow builder for email, push, SMS, and chat; mapped branching logic, audience checks, channel selection, and edge cases across multi-step operational processes.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Designed </w:t>
      </w:r>
      <w:r>
        <w:rPr>
          <w:rFonts w:ascii="Calibri" w:hAnsi="Calibri"/>
          <w:b/>
          <w:sz w:val="22"/>
        </w:rPr>
        <w:t>Segments</w:t>
      </w:r>
      <w:r>
        <w:rPr>
          <w:rFonts w:ascii="Calibri" w:hAnsi="Calibri"/>
          <w:b w:val="0"/>
          <w:sz w:val="22"/>
        </w:rPr>
        <w:t xml:space="preserve"> (visual audience constructor) and </w:t>
      </w:r>
      <w:r>
        <w:rPr>
          <w:rFonts w:ascii="Calibri" w:hAnsi="Calibri"/>
          <w:b/>
          <w:sz w:val="22"/>
        </w:rPr>
        <w:t>Content Hub</w:t>
      </w:r>
      <w:r>
        <w:rPr>
          <w:rFonts w:ascii="Calibri" w:hAnsi="Calibri"/>
          <w:b w:val="0"/>
          <w:sz w:val="22"/>
        </w:rPr>
        <w:t xml:space="preserve"> (production workspace, storage, analytics, audit trail) — data-heavy interfaces where operational users build audiences, author regulated content, trace usage, and reuse assets at scale.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Embedded </w:t>
      </w:r>
      <w:r>
        <w:rPr>
          <w:rFonts w:ascii="Calibri" w:hAnsi="Calibri"/>
          <w:b/>
          <w:sz w:val="22"/>
        </w:rPr>
        <w:t>AI-assisted workflows</w:t>
      </w:r>
      <w:r>
        <w:rPr>
          <w:rFonts w:ascii="Calibri" w:hAnsi="Calibri"/>
          <w:b w:val="0"/>
          <w:sz w:val="22"/>
        </w:rPr>
        <w:t xml:space="preserve"> into production tools — copy variants, image generation, and campaign analysis — positioned as assistive layers inside specialist review flows, not bypasses for compliance or approval.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 xml:space="preserve">Built scalable patterns across </w:t>
      </w:r>
      <w:r>
        <w:rPr>
          <w:rFonts w:ascii="Calibri" w:hAnsi="Calibri"/>
          <w:b/>
          <w:sz w:val="22"/>
        </w:rPr>
        <w:t>Sales Experience</w:t>
      </w:r>
      <w:r>
        <w:rPr>
          <w:rFonts w:ascii="Calibri" w:hAnsi="Calibri"/>
          <w:b w:val="0"/>
          <w:sz w:val="22"/>
        </w:rPr>
        <w:t xml:space="preserve"> (triggers, rules, automations), </w:t>
      </w:r>
      <w:r>
        <w:rPr>
          <w:rFonts w:ascii="Calibri" w:hAnsi="Calibri"/>
          <w:b/>
          <w:sz w:val="22"/>
        </w:rPr>
        <w:t>Hitman</w:t>
      </w:r>
      <w:r>
        <w:rPr>
          <w:rFonts w:ascii="Calibri" w:hAnsi="Calibri"/>
          <w:b w:val="0"/>
          <w:sz w:val="22"/>
        </w:rPr>
        <w:t xml:space="preserve"> (call orchestration), </w:t>
      </w:r>
      <w:r>
        <w:rPr>
          <w:rFonts w:ascii="Calibri" w:hAnsi="Calibri"/>
          <w:b/>
          <w:sz w:val="22"/>
        </w:rPr>
        <w:t>Liza</w:t>
      </w:r>
      <w:r>
        <w:rPr>
          <w:rFonts w:ascii="Calibri" w:hAnsi="Calibri"/>
          <w:b w:val="0"/>
          <w:sz w:val="22"/>
        </w:rPr>
        <w:t xml:space="preserve"> (acquisition tooling), </w:t>
      </w:r>
      <w:r>
        <w:rPr>
          <w:rFonts w:ascii="Calibri" w:hAnsi="Calibri"/>
          <w:b/>
          <w:sz w:val="22"/>
        </w:rPr>
        <w:t>Bunny</w:t>
      </w:r>
      <w:r>
        <w:rPr>
          <w:rFonts w:ascii="Calibri" w:hAnsi="Calibri"/>
          <w:b w:val="0"/>
          <w:sz w:val="22"/>
        </w:rPr>
        <w:t xml:space="preserve"> (banner constructor), </w:t>
      </w:r>
      <w:r>
        <w:rPr>
          <w:rFonts w:ascii="Calibri" w:hAnsi="Calibri"/>
          <w:b/>
          <w:sz w:val="22"/>
        </w:rPr>
        <w:t>RTB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Polls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Gantt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Partners</w:t>
      </w:r>
      <w:r>
        <w:rPr>
          <w:rFonts w:ascii="Calibri" w:hAnsi="Calibri"/>
          <w:b w:val="0"/>
          <w:sz w:val="22"/>
        </w:rPr>
        <w:t xml:space="preserve">, and </w:t>
      </w:r>
      <w:r>
        <w:rPr>
          <w:rFonts w:ascii="Calibri" w:hAnsi="Calibri"/>
          <w:b/>
          <w:sz w:val="22"/>
        </w:rPr>
        <w:t>Promocodes</w:t>
      </w:r>
      <w:r>
        <w:rPr>
          <w:rFonts w:ascii="Calibri" w:hAnsi="Calibri"/>
          <w:b w:val="0"/>
          <w:sz w:val="22"/>
        </w:rPr>
        <w:t xml:space="preserve"> — balancing speed, usability, and technical constraints in dense internal UIs.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Partnered with product, engineering, data, and operations stakeholders to turn ambiguous, highly technical requirements into clear product logic and shipped interfaces.</w:t>
      </w:r>
    </w:p>
    <w:p>
      <w:pPr>
        <w:pStyle w:val="Heading3"/>
      </w:pPr>
      <w:r>
        <w:t>Andata — UX / UI Product Designer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Remote · Feb 2020 – Mar 2022 · 2 yrs 2 mos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Fast-paced startup using big data, machine learning, and AI to optimize online advertising.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Designed data-heavy analytics interfaces for marketing operations teams — complex tables, filters, and reporting views for campaign performance and audience insights.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Owned end-to-end product design and UX research for internal analytics tools used by non-technical operational users.</w:t>
      </w:r>
    </w:p>
    <w:p>
      <w:pPr>
        <w:pStyle w:val="Heading3"/>
      </w:pPr>
      <w:r>
        <w:t>NDFLka — Product Designer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Remote · Jan 2019 – Jan 2020 · 1 yr 1 mo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Regulated fintech product for tax refund.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Designed compliance-aware user flows for tax-refund submission, guiding users through regulated steps with clear states and error handling.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Built a new UI kit and redesigned the end-to-end service flow, improving conversion from informational pages to registration.</w:t>
      </w:r>
    </w:p>
    <w:p>
      <w:pPr>
        <w:pStyle w:val="Heading3"/>
      </w:pPr>
      <w:r>
        <w:t>MESQ — Product Designer and Founder</w:t>
      </w:r>
    </w:p>
    <w:p>
      <w:pPr>
        <w:spacing w:after="80" w:line="240" w:lineRule="auto"/>
      </w:pPr>
      <w:r>
        <w:rPr>
          <w:rFonts w:ascii="Calibri" w:hAnsi="Calibri"/>
          <w:b w:val="0"/>
          <w:i/>
          <w:sz w:val="22"/>
        </w:rPr>
        <w:t>Self-employed · Feb 2017 – Dec 2018 · 1 yr 11 mos</w:t>
      </w:r>
    </w:p>
    <w:p>
      <w:pPr>
        <w:spacing w:after="160" w:line="240" w:lineRule="auto"/>
      </w:pPr>
      <w:r>
        <w:rPr>
          <w:rFonts w:ascii="Calibri" w:hAnsi="Calibri"/>
          <w:b w:val="0"/>
          <w:i/>
          <w:sz w:val="22"/>
        </w:rPr>
        <w:t>0-to-1 platform for property search and discovery.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Led product vision, information architecture, and end-to-end UX for a searchable listings platform from concept through launch.</w:t>
      </w:r>
    </w:p>
    <w:p>
      <w:pPr>
        <w:pStyle w:val="Heading2"/>
      </w:pPr>
      <w:r>
        <w:t>Education</w:t>
      </w:r>
    </w:p>
    <w:p>
      <w:pPr>
        <w:spacing w:after="40" w:line="240" w:lineRule="auto"/>
      </w:pPr>
      <w:r>
        <w:rPr>
          <w:rFonts w:ascii="Calibri" w:hAnsi="Calibri"/>
          <w:b/>
          <w:i w:val="0"/>
          <w:sz w:val="22"/>
        </w:rPr>
        <w:t>Gubkin Russian State University of Oil and Gas (National Research University)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Bachelor of Engineering, Engineering Design and Construction · 2003 – 2008</w:t>
      </w:r>
    </w:p>
    <w:p>
      <w:pPr>
        <w:pStyle w:val="Heading2"/>
      </w:pPr>
      <w:r>
        <w:t>Tools</w:t>
      </w:r>
    </w:p>
    <w:p>
      <w:pPr>
        <w:spacing w:after="240" w:line="240" w:lineRule="auto"/>
      </w:pPr>
      <w:r>
        <w:rPr>
          <w:rFonts w:ascii="Calibri" w:hAnsi="Calibri"/>
          <w:b w:val="0"/>
          <w:i w:val="0"/>
          <w:sz w:val="22"/>
        </w:rPr>
        <w:t>Figma · FigJam · Cursor · Jira · Confluence · Notion · LLMs</w:t>
      </w:r>
    </w:p>
    <w:p>
      <w:pPr>
        <w:pStyle w:val="Heading2"/>
      </w:pPr>
      <w:r>
        <w:t>Languages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English — B2 · Russian — Native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