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.0"/>
        <w:spacing w:after="0" w:line="240" w:lineRule="auto"/>
        <w:jc w:val="center"/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«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САНКТ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ПЕТЕРБУРГСКИЙ ПОЛИТЕХНИЧЕСКИЙ УНИВЕРСИТЕТ </w:t>
      </w:r>
    </w:p>
    <w:p>
      <w:pPr>
        <w:pStyle w:val="Normal.0"/>
        <w:spacing w:after="0" w:line="240" w:lineRule="auto"/>
        <w:jc w:val="center"/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ПЕТРА ВЕЛИКОГО»</w:t>
      </w:r>
    </w:p>
    <w:p>
      <w:pPr>
        <w:pStyle w:val="Normal.0"/>
        <w:spacing w:after="0" w:line="240" w:lineRule="auto"/>
        <w:jc w:val="center"/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Институт компьютерных наук и кибербезопасности</w:t>
      </w:r>
    </w:p>
    <w:tbl>
      <w:tblPr>
        <w:tblW w:w="9345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9345"/>
      </w:tblGrid>
      <w:tr>
        <w:tblPrEx>
          <w:shd w:val="clear" w:color="auto" w:fill="d0ddef"/>
        </w:tblPrEx>
        <w:trPr>
          <w:trHeight w:val="266" w:hRule="atLeast"/>
        </w:trPr>
        <w:tc>
          <w:tcPr>
            <w:tcW w:type="dxa" w:w="934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0" w:line="240" w:lineRule="auto"/>
        <w:ind w:left="324" w:hanging="324"/>
        <w:jc w:val="center"/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0"/>
        <w:spacing w:after="0" w:line="240" w:lineRule="auto"/>
        <w:ind w:left="216" w:hanging="216"/>
        <w:jc w:val="center"/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0"/>
        <w:spacing w:after="0" w:line="240" w:lineRule="auto"/>
        <w:ind w:left="108" w:hanging="108"/>
        <w:jc w:val="center"/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0"/>
        <w:spacing w:after="0" w:line="240" w:lineRule="auto"/>
        <w:jc w:val="center"/>
        <w:rPr>
          <w:b w:val="1"/>
          <w:bCs w:val="1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ИНДИВИДУАЛЬНЫЙ ПЛАН </w:t>
      </w:r>
      <w:r>
        <w:rPr>
          <w:b w:val="1"/>
          <w:bCs w:val="1"/>
          <w:sz w:val="24"/>
          <w:szCs w:val="24"/>
          <w:rtl w:val="0"/>
          <w:lang w:val="ru-RU"/>
        </w:rPr>
        <w:t>(</w:t>
      </w:r>
      <w:r>
        <w:rPr>
          <w:b w:val="1"/>
          <w:bCs w:val="1"/>
          <w:sz w:val="24"/>
          <w:szCs w:val="24"/>
          <w:rtl w:val="0"/>
          <w:lang w:val="ru-RU"/>
        </w:rPr>
        <w:t>ЗАДАНИЕ И ГРАФИК</w:t>
      </w:r>
      <w:r>
        <w:rPr>
          <w:b w:val="1"/>
          <w:bCs w:val="1"/>
          <w:sz w:val="24"/>
          <w:szCs w:val="24"/>
          <w:rtl w:val="0"/>
          <w:lang w:val="ru-RU"/>
        </w:rPr>
        <w:t>)</w:t>
      </w:r>
    </w:p>
    <w:p>
      <w:pPr>
        <w:pStyle w:val="Normal.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ПРОВЕДЕНИЯ ПРАКТИКИ</w:t>
      </w:r>
    </w:p>
    <w:tbl>
      <w:tblPr>
        <w:tblW w:w="9345" w:type="dxa"/>
        <w:jc w:val="center"/>
        <w:tblInd w:w="43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97"/>
        <w:gridCol w:w="5948"/>
      </w:tblGrid>
      <w:tr>
        <w:tblPrEx>
          <w:shd w:val="clear" w:color="auto" w:fill="d0ddef"/>
        </w:tblPrEx>
        <w:trPr>
          <w:trHeight w:val="305" w:hRule="atLeast"/>
        </w:trPr>
        <w:tc>
          <w:tcPr>
            <w:tcW w:type="dxa" w:w="3397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Ф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обучающегося </w:t>
            </w:r>
          </w:p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Киричек Мария Романовна</w:t>
            </w:r>
          </w:p>
        </w:tc>
      </w:tr>
      <w:tr>
        <w:tblPrEx>
          <w:shd w:val="clear" w:color="auto" w:fill="d0ddef"/>
        </w:tblPrEx>
        <w:trPr>
          <w:trHeight w:val="630" w:hRule="atLeast"/>
        </w:trPr>
        <w:tc>
          <w:tcPr>
            <w:tcW w:type="dxa" w:w="3397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Направление подготовки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код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наименование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02.03.03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Математическое обеспечение и администрирование информационных систем</w:t>
            </w:r>
          </w:p>
        </w:tc>
      </w:tr>
      <w:tr>
        <w:tblPrEx>
          <w:shd w:val="clear" w:color="auto" w:fill="d0ddef"/>
        </w:tblPrEx>
        <w:trPr>
          <w:trHeight w:val="630" w:hRule="atLeast"/>
        </w:trPr>
        <w:tc>
          <w:tcPr>
            <w:tcW w:type="dxa" w:w="3397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Профиль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код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наименование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) </w:t>
            </w:r>
          </w:p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02.03.03_01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Интеллектуальные информационные системы и обработка данных</w:t>
            </w:r>
          </w:p>
        </w:tc>
      </w:tr>
      <w:tr>
        <w:tblPrEx>
          <w:shd w:val="clear" w:color="auto" w:fill="d0ddef"/>
        </w:tblPrEx>
        <w:trPr>
          <w:trHeight w:val="330" w:hRule="atLeast"/>
        </w:trPr>
        <w:tc>
          <w:tcPr>
            <w:tcW w:type="dxa" w:w="3397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Вид практики </w:t>
            </w:r>
          </w:p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производственная </w:t>
            </w:r>
          </w:p>
        </w:tc>
      </w:tr>
      <w:tr>
        <w:tblPrEx>
          <w:shd w:val="clear" w:color="auto" w:fill="d0ddef"/>
        </w:tblPrEx>
        <w:trPr>
          <w:trHeight w:val="330" w:hRule="atLeast"/>
        </w:trPr>
        <w:tc>
          <w:tcPr>
            <w:tcW w:type="dxa" w:w="3397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Тип практики </w:t>
            </w:r>
          </w:p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научно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исследовательская работа</w:t>
            </w:r>
          </w:p>
        </w:tc>
      </w:tr>
      <w:tr>
        <w:tblPrEx>
          <w:shd w:val="clear" w:color="auto" w:fill="d0ddef"/>
        </w:tblPrEx>
        <w:trPr>
          <w:trHeight w:val="330" w:hRule="atLeast"/>
        </w:trPr>
        <w:tc>
          <w:tcPr>
            <w:tcW w:type="dxa" w:w="3397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Место прохождения практики </w:t>
            </w:r>
          </w:p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ФГАОУ ВО «СПбПУ»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ИКНиК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ВШТИИ</w:t>
            </w:r>
          </w:p>
        </w:tc>
      </w:tr>
      <w:tr>
        <w:tblPrEx>
          <w:shd w:val="clear" w:color="auto" w:fill="d0ddef"/>
        </w:tblPrEx>
        <w:trPr>
          <w:trHeight w:val="330" w:hRule="atLeast"/>
        </w:trPr>
        <w:tc>
          <w:tcPr>
            <w:tcW w:type="dxa" w:w="9345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Руководитель практической подготовки от ФГАОУ ВО «СПбПУ»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Пак Вадим</w:t>
            </w:r>
          </w:p>
        </w:tc>
      </w:tr>
      <w:tr>
        <w:tblPrEx>
          <w:shd w:val="clear" w:color="auto" w:fill="d0ddef"/>
        </w:tblPrEx>
        <w:trPr>
          <w:trHeight w:val="330" w:hRule="atLeast"/>
        </w:trPr>
        <w:tc>
          <w:tcPr>
            <w:tcW w:type="dxa" w:w="9345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before="120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Геннадьевич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к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ф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.-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м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н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доцент ВШТИИ </w:t>
            </w:r>
          </w:p>
        </w:tc>
      </w:tr>
      <w:tr>
        <w:tblPrEx>
          <w:shd w:val="clear" w:color="auto" w:fill="d0ddef"/>
        </w:tblPrEx>
        <w:trPr>
          <w:trHeight w:val="1030" w:hRule="atLeast"/>
        </w:trPr>
        <w:tc>
          <w:tcPr>
            <w:tcW w:type="dxa" w:w="9345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i w:val="1"/>
                <w:iCs w:val="1"/>
                <w:sz w:val="24"/>
                <w:szCs w:val="24"/>
                <w:shd w:val="nil" w:color="auto" w:fill="auto"/>
              </w:rPr>
            </w:pP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Ф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И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О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уч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степень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должность</w:t>
            </w:r>
            <w:r>
              <w:rPr>
                <w:i w:val="1"/>
                <w:iCs w:val="1"/>
                <w:sz w:val="24"/>
                <w:szCs w:val="24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No Spacing"/>
              <w:bidi w:val="0"/>
              <w:spacing w:before="12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Консультант практической подготовки от ФГАОУ ВО «СПбПУ»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Антонян Давид Мелитосович</w:t>
            </w:r>
          </w:p>
        </w:tc>
      </w:tr>
      <w:tr>
        <w:tblPrEx>
          <w:shd w:val="clear" w:color="auto" w:fill="d0ddef"/>
        </w:tblPrEx>
        <w:trPr>
          <w:trHeight w:val="330" w:hRule="atLeast"/>
        </w:trPr>
        <w:tc>
          <w:tcPr>
            <w:tcW w:type="dxa" w:w="9345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70" w:hRule="atLeast"/>
        </w:trPr>
        <w:tc>
          <w:tcPr>
            <w:tcW w:type="dxa" w:w="9345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Ф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И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уч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степень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должность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No Spacing"/>
              <w:bidi w:val="0"/>
              <w:spacing w:before="12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Руководитель практической подготовки от профильной организации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нет</w:t>
            </w:r>
          </w:p>
        </w:tc>
      </w:tr>
      <w:tr>
        <w:tblPrEx>
          <w:shd w:val="clear" w:color="auto" w:fill="d0ddef"/>
        </w:tblPrEx>
        <w:trPr>
          <w:trHeight w:val="271" w:hRule="atLeast"/>
        </w:trPr>
        <w:tc>
          <w:tcPr>
            <w:tcW w:type="dxa" w:w="9345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57" w:hRule="atLeast"/>
        </w:trPr>
        <w:tc>
          <w:tcPr>
            <w:tcW w:type="dxa" w:w="9345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Ф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И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О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должность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ind w:left="329" w:hanging="329"/>
        <w:jc w:val="center"/>
        <w:rPr>
          <w:b w:val="1"/>
          <w:bCs w:val="1"/>
          <w:sz w:val="24"/>
          <w:szCs w:val="24"/>
        </w:rPr>
      </w:pPr>
    </w:p>
    <w:p>
      <w:pPr>
        <w:pStyle w:val="Normal.0"/>
        <w:widowControl w:val="0"/>
        <w:spacing w:line="240" w:lineRule="auto"/>
        <w:ind w:left="221" w:hanging="221"/>
        <w:jc w:val="center"/>
      </w:pPr>
    </w:p>
    <w:p>
      <w:pPr>
        <w:pStyle w:val="No Spacing"/>
        <w:jc w:val="center"/>
        <w:rPr>
          <w:sz w:val="24"/>
          <w:szCs w:val="24"/>
        </w:rPr>
      </w:pPr>
    </w:p>
    <w:p>
      <w:pPr>
        <w:pStyle w:val="No Spacing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Рабочий график проведения практики</w:t>
      </w:r>
    </w:p>
    <w:p>
      <w:pPr>
        <w:pStyle w:val="No Spacing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rtl w:val="0"/>
          <w:lang w:val="ru-RU"/>
        </w:rPr>
        <w:t>Сроки практики</w:t>
      </w:r>
      <w:r>
        <w:rPr>
          <w:b w:val="1"/>
          <w:bCs w:val="1"/>
          <w:sz w:val="24"/>
          <w:szCs w:val="24"/>
          <w:rtl w:val="0"/>
          <w:lang w:val="ru-RU"/>
        </w:rPr>
        <w:t>:</w:t>
      </w:r>
      <w:r>
        <w:rPr>
          <w:sz w:val="24"/>
          <w:szCs w:val="24"/>
          <w:rtl w:val="0"/>
          <w:lang w:val="ru-RU"/>
        </w:rPr>
        <w:t xml:space="preserve"> с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u w:val="single"/>
          <w:rtl w:val="0"/>
          <w:lang w:val="ru-RU"/>
        </w:rPr>
        <w:t>15.0</w:t>
      </w:r>
      <w:r>
        <w:rPr>
          <w:sz w:val="24"/>
          <w:szCs w:val="24"/>
          <w:u w:val="single"/>
          <w:rtl w:val="0"/>
          <w:lang w:val="en-US"/>
        </w:rPr>
        <w:t>6</w:t>
      </w:r>
      <w:r>
        <w:rPr>
          <w:sz w:val="24"/>
          <w:szCs w:val="24"/>
          <w:u w:val="single"/>
          <w:rtl w:val="0"/>
          <w:lang w:val="ru-RU"/>
        </w:rPr>
        <w:t>.2026</w:t>
      </w:r>
      <w:r>
        <w:rPr>
          <w:sz w:val="24"/>
          <w:szCs w:val="24"/>
          <w:rtl w:val="0"/>
          <w:lang w:val="ru-RU"/>
        </w:rPr>
        <w:t xml:space="preserve"> по </w:t>
      </w:r>
      <w:r>
        <w:rPr>
          <w:sz w:val="24"/>
          <w:szCs w:val="24"/>
          <w:u w:val="single"/>
          <w:rtl w:val="0"/>
          <w:lang w:val="ru-RU"/>
        </w:rPr>
        <w:t>11.0</w:t>
      </w:r>
      <w:r>
        <w:rPr>
          <w:sz w:val="24"/>
          <w:szCs w:val="24"/>
          <w:u w:val="single"/>
          <w:rtl w:val="0"/>
          <w:lang w:val="en-US"/>
        </w:rPr>
        <w:t>7</w:t>
      </w:r>
      <w:r>
        <w:rPr>
          <w:sz w:val="24"/>
          <w:szCs w:val="24"/>
          <w:u w:val="single"/>
          <w:rtl w:val="0"/>
          <w:lang w:val="ru-RU"/>
        </w:rPr>
        <w:t>.2026</w:t>
      </w:r>
    </w:p>
    <w:p>
      <w:pPr>
        <w:pStyle w:val="No Spacing"/>
        <w:rPr>
          <w:sz w:val="24"/>
          <w:szCs w:val="24"/>
          <w:u w:val="single"/>
        </w:rPr>
      </w:pPr>
    </w:p>
    <w:tbl>
      <w:tblPr>
        <w:tblW w:w="9349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46"/>
        <w:gridCol w:w="2127"/>
        <w:gridCol w:w="4538"/>
        <w:gridCol w:w="1838"/>
      </w:tblGrid>
      <w:tr>
        <w:tblPrEx>
          <w:shd w:val="clear" w:color="auto" w:fill="d0ddef"/>
        </w:tblPrEx>
        <w:trPr>
          <w:trHeight w:val="1530" w:hRule="atLeast"/>
        </w:trPr>
        <w:tc>
          <w:tcPr>
            <w:tcW w:type="dxa" w:w="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№ п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</w:t>
            </w:r>
          </w:p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Этапы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периоды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практики</w:t>
            </w:r>
          </w:p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Вид работ 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Сроки прохождения этапа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периода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практики </w:t>
            </w:r>
          </w:p>
        </w:tc>
      </w:tr>
      <w:tr>
        <w:tblPrEx>
          <w:shd w:val="clear" w:color="auto" w:fill="d0ddef"/>
        </w:tblPrEx>
        <w:trPr>
          <w:trHeight w:val="2430" w:hRule="atLeast"/>
        </w:trPr>
        <w:tc>
          <w:tcPr>
            <w:tcW w:type="dxa" w:w="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shd w:val="nil" w:color="auto" w:fill="auto"/>
                <w:rtl w:val="0"/>
                <w:lang w:val="ru-RU"/>
              </w:rPr>
              <w:t xml:space="preserve">Организационный этап </w:t>
            </w:r>
          </w:p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Установочная лекция для разъяснения целей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задач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содержания и порядка прохождения практики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инструктаж по технике безопасности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выдача сопроводительных документов по практике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составление и согласование индивидуального плана практики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формулирование ожидаемых результатов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15.06.26-19.06.26</w:t>
            </w:r>
          </w:p>
        </w:tc>
      </w:tr>
      <w:tr>
        <w:tblPrEx>
          <w:shd w:val="clear" w:color="auto" w:fill="d0ddef"/>
        </w:tblPrEx>
        <w:trPr>
          <w:trHeight w:val="2700" w:hRule="atLeast"/>
        </w:trPr>
        <w:tc>
          <w:tcPr>
            <w:tcW w:type="dxa" w:w="84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2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shd w:val="nil" w:color="auto" w:fill="auto"/>
                <w:rtl w:val="0"/>
                <w:lang w:val="ru-RU"/>
              </w:rPr>
              <w:t xml:space="preserve">Основной этап </w:t>
            </w:r>
          </w:p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1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Обзор архитектуры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Transformer (self-attention, multi-head attention, positional encoding).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Анализ существующих русско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-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английских моделей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Исследование подходов к позиционному кодированию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Формулирование исследовательской задачи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определение влияния числа голов внимания и глубины модели на качество перевода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16.06.26-2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0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.06.26</w:t>
            </w:r>
          </w:p>
        </w:tc>
      </w:tr>
      <w:tr>
        <w:tblPrEx>
          <w:shd w:val="clear" w:color="auto" w:fill="d0ddef"/>
        </w:tblPrEx>
        <w:trPr>
          <w:trHeight w:val="3000" w:hRule="atLeast"/>
        </w:trPr>
        <w:tc>
          <w:tcPr>
            <w:tcW w:type="dxa" w:w="84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tl w:val="0"/>
                <w:lang w:val="ru-RU"/>
              </w:rPr>
              <w:t xml:space="preserve">2.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Загрузка и обработка набора данных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OPUS-100 (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русско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-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английская пара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Токенизация с помощью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SentencePiece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или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BPE,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нормализация текста и фильтрация выбросов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Разбиение данных на обучающую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валидационную и тестовую выборки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Сравнительный анализ влияния типа токенизации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(BPE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SentencePiece)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на обработку морфологически богатого русского языка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2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.06.26-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24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.06.26</w:t>
            </w:r>
          </w:p>
        </w:tc>
      </w:tr>
      <w:tr>
        <w:tblPrEx>
          <w:shd w:val="clear" w:color="auto" w:fill="d0ddef"/>
        </w:tblPrEx>
        <w:trPr>
          <w:trHeight w:val="1830" w:hRule="atLeast"/>
        </w:trPr>
        <w:tc>
          <w:tcPr>
            <w:tcW w:type="dxa" w:w="84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Реализация архитектуры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Transformer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с нуля на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PyTorch.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Реализация механизмов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multi-head attention,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позиционного кодирования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маскирования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Реализация функции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forward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для кодера и декодера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Настройка гиперпараметров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2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5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.06.26-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.07.26</w:t>
            </w:r>
          </w:p>
        </w:tc>
      </w:tr>
      <w:tr>
        <w:tblPrEx>
          <w:shd w:val="clear" w:color="auto" w:fill="d0ddef"/>
        </w:tblPrEx>
        <w:trPr>
          <w:trHeight w:val="1830" w:hRule="atLeast"/>
        </w:trPr>
        <w:tc>
          <w:tcPr>
            <w:tcW w:type="dxa" w:w="84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Запуск обучения на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GPU,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контроль лосса и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BLEU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на валидации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Эксперименты с варьированием гиперпараметров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количество слоёв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число голов внимания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размерность эмбеддингов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 xml:space="preserve">коэффициент 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dropout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0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.07.26-0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4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.07.26</w:t>
            </w:r>
          </w:p>
        </w:tc>
      </w:tr>
      <w:tr>
        <w:tblPrEx>
          <w:shd w:val="clear" w:color="auto" w:fill="d0ddef"/>
        </w:tblPrEx>
        <w:trPr>
          <w:trHeight w:val="4018" w:hRule="atLeast"/>
        </w:trPr>
        <w:tc>
          <w:tcPr>
            <w:tcW w:type="dxa" w:w="84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5.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Тестирование модели на тестовом наборе данных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 Вычисление метрик </w:t>
            </w: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BLEU, TER, METEOR, Perplexity.</w:t>
            </w:r>
            <w:r>
              <w:rPr>
                <w:rFonts w:ascii="Times Roman" w:hAnsi="Times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> 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Сравнительный анализ полученных результатов с теоретическими ожиданиями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интерпретация влияния гиперпараметров на качество перевода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выявление закономерностей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например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при каком числе голов внимания модель лучше всего справляется с длинными предложениями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Формулирование выводов о применимости различных конфигураций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Transformer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для русского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языка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05.07.26-06.07.26</w:t>
            </w:r>
          </w:p>
        </w:tc>
      </w:tr>
      <w:tr>
        <w:tblPrEx>
          <w:shd w:val="clear" w:color="auto" w:fill="d0ddef"/>
        </w:tblPrEx>
        <w:trPr>
          <w:trHeight w:val="930" w:hRule="atLeast"/>
        </w:trPr>
        <w:tc>
          <w:tcPr>
            <w:tcW w:type="dxa" w:w="84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6.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Написание отчёта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en-US"/>
              </w:rPr>
              <w:t>07</w:t>
            </w: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.07.26-10.07.26</w:t>
            </w:r>
          </w:p>
        </w:tc>
      </w:tr>
      <w:tr>
        <w:tblPrEx>
          <w:shd w:val="clear" w:color="auto" w:fill="d0ddef"/>
        </w:tblPrEx>
        <w:trPr>
          <w:trHeight w:val="630" w:hRule="atLeast"/>
        </w:trPr>
        <w:tc>
          <w:tcPr>
            <w:tcW w:type="dxa" w:w="84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2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shd w:val="nil" w:color="auto" w:fill="auto"/>
                <w:rtl w:val="0"/>
                <w:lang w:val="ru-RU"/>
              </w:rPr>
              <w:t xml:space="preserve">Заключительный этап </w:t>
            </w:r>
          </w:p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Доклад о результатах практики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10.07.26-11.07.26</w:t>
            </w:r>
          </w:p>
        </w:tc>
      </w:tr>
      <w:tr>
        <w:tblPrEx>
          <w:shd w:val="clear" w:color="auto" w:fill="d0ddef"/>
        </w:tblPrEx>
        <w:trPr>
          <w:trHeight w:val="630" w:hRule="atLeast"/>
        </w:trPr>
        <w:tc>
          <w:tcPr>
            <w:tcW w:type="dxa" w:w="84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Защита отчета по практике</w:t>
            </w:r>
          </w:p>
        </w:tc>
        <w:tc>
          <w:tcPr>
            <w:tcW w:type="dxa" w:w="1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sz w:val="24"/>
                <w:szCs w:val="24"/>
                <w:u w:color="ff0000"/>
                <w:shd w:val="nil" w:color="auto" w:fill="auto"/>
                <w:rtl w:val="0"/>
                <w:lang w:val="ru-RU"/>
              </w:rPr>
              <w:t>10.07.26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-11.07.26</w:t>
            </w:r>
          </w:p>
        </w:tc>
      </w:tr>
    </w:tbl>
    <w:p>
      <w:pPr>
        <w:pStyle w:val="No Spacing"/>
        <w:widowControl w:val="0"/>
        <w:ind w:left="324" w:hanging="324"/>
        <w:rPr>
          <w:sz w:val="24"/>
          <w:szCs w:val="24"/>
          <w:u w:val="single"/>
        </w:rPr>
      </w:pPr>
    </w:p>
    <w:p>
      <w:pPr>
        <w:pStyle w:val="No Spacing"/>
        <w:widowControl w:val="0"/>
        <w:ind w:left="216" w:hanging="216"/>
        <w:rPr>
          <w:sz w:val="24"/>
          <w:szCs w:val="24"/>
          <w:u w:val="single"/>
        </w:rPr>
      </w:pPr>
    </w:p>
    <w:p>
      <w:pPr>
        <w:pStyle w:val="No Spacing"/>
        <w:widowControl w:val="0"/>
        <w:ind w:left="108" w:hanging="108"/>
        <w:rPr>
          <w:sz w:val="24"/>
          <w:szCs w:val="24"/>
          <w:u w:val="single"/>
        </w:rPr>
      </w:pPr>
    </w:p>
    <w:p>
      <w:pPr>
        <w:pStyle w:val="No Spacing"/>
        <w:widowControl w:val="0"/>
        <w:rPr>
          <w:sz w:val="24"/>
          <w:szCs w:val="24"/>
          <w:u w:val="single"/>
        </w:rPr>
      </w:pPr>
    </w:p>
    <w:p>
      <w:pPr>
        <w:pStyle w:val="No Spacing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</w:pPr>
      <w:r>
        <w:rPr>
          <w:rtl w:val="0"/>
          <w:lang w:val="ru-RU"/>
        </w:rPr>
        <w:t xml:space="preserve">Обучающийся                           </w:t>
      </w:r>
      <w:r>
        <w:rPr>
          <w:rtl w:val="0"/>
          <w:lang w:val="ru-RU"/>
        </w:rPr>
        <w:t>_______________________                              /</w:t>
      </w:r>
      <w:r>
        <w:rPr>
          <w:u w:color="ff0000"/>
          <w:rtl w:val="0"/>
          <w:lang w:val="ru-RU"/>
        </w:rPr>
        <w:t>Киричек М</w:t>
      </w:r>
      <w:r>
        <w:rPr>
          <w:u w:color="ff0000"/>
          <w:rtl w:val="0"/>
          <w:lang w:val="ru-RU"/>
        </w:rPr>
        <w:t>.</w:t>
      </w:r>
      <w:r>
        <w:rPr>
          <w:u w:color="ff0000"/>
          <w:rtl w:val="0"/>
          <w:lang w:val="ru-RU"/>
        </w:rPr>
        <w:t>Р</w:t>
      </w:r>
      <w:r>
        <w:rPr>
          <w:u w:color="ff0000"/>
          <w:rtl w:val="0"/>
          <w:lang w:val="ru-RU"/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</w:p>
    <w:p>
      <w:pPr>
        <w:pStyle w:val="Default"/>
        <w:spacing w:before="120"/>
      </w:pPr>
      <w:r>
        <w:rPr>
          <w:rtl w:val="0"/>
          <w:lang w:val="ru-RU"/>
        </w:rPr>
        <w:t xml:space="preserve">Руководитель практической подготовки </w:t>
      </w:r>
    </w:p>
    <w:p>
      <w:pPr>
        <w:pStyle w:val="Default"/>
      </w:pPr>
      <w:r>
        <w:rPr>
          <w:rtl w:val="0"/>
          <w:lang w:val="ru-RU"/>
        </w:rPr>
        <w:t xml:space="preserve">от ФГАОУ ВО «СПбПУ»        </w:t>
      </w:r>
      <w:r>
        <w:rPr>
          <w:rtl w:val="0"/>
          <w:lang w:val="ru-RU"/>
        </w:rPr>
        <w:t>_______________________                                   /</w:t>
      </w:r>
      <w:r>
        <w:rPr>
          <w:u w:color="ff0000"/>
          <w:rtl w:val="0"/>
          <w:lang w:val="ru-RU"/>
        </w:rPr>
        <w:t>Пак В</w:t>
      </w:r>
      <w:r>
        <w:rPr>
          <w:u w:color="ff0000"/>
          <w:rtl w:val="0"/>
          <w:lang w:val="ru-RU"/>
        </w:rPr>
        <w:t>.</w:t>
      </w:r>
      <w:r>
        <w:rPr>
          <w:u w:color="ff0000"/>
          <w:rtl w:val="0"/>
          <w:lang w:val="ru-RU"/>
        </w:rPr>
        <w:t>Г</w:t>
      </w:r>
      <w:r>
        <w:rPr>
          <w:u w:color="ff0000"/>
          <w:rtl w:val="0"/>
          <w:lang w:val="ru-RU"/>
        </w:rPr>
        <w:t>.</w:t>
      </w:r>
      <w:r>
        <w:rPr>
          <w:rtl w:val="0"/>
          <w:lang w:val="ru-RU"/>
        </w:rPr>
        <w:t>/</w:t>
      </w:r>
    </w:p>
    <w:p>
      <w:pPr>
        <w:pStyle w:val="Default"/>
      </w:pPr>
    </w:p>
    <w:p>
      <w:pPr>
        <w:pStyle w:val="Default"/>
        <w:spacing w:before="120"/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ru-RU"/>
          <w14:textOutline w14:w="12700" w14:cap="flat">
            <w14:noFill/>
            <w14:miter w14:lim="400000"/>
          </w14:textOutline>
        </w:rPr>
        <w:t>Консультант практической подготовки</w:t>
      </w:r>
    </w:p>
    <w:p>
      <w:pPr>
        <w:pStyle w:val="Default"/>
      </w:pP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 от ФГАОУ ВО «СПбПУ»       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_______________________                             /</w:t>
      </w:r>
      <w:r>
        <w:rPr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Антонян Д</w:t>
      </w:r>
      <w:r>
        <w:rPr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М</w:t>
      </w:r>
      <w:r>
        <w:rPr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/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