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sample-law-review-article"/>
    <w:p>
      <w:pPr>
        <w:pStyle w:val="Heading1"/>
      </w:pPr>
      <w:r>
        <w:t xml:space="preserve">Sample Law Review Article</w:t>
      </w:r>
    </w:p>
    <w:bookmarkStart w:id="9" w:name="introduction"/>
    <w:p>
      <w:pPr>
        <w:pStyle w:val="Heading2"/>
      </w:pPr>
      <w:r>
        <w:t xml:space="preserve">Introduction</w:t>
      </w:r>
    </w:p>
    <w:p>
      <w:pPr>
        <w:pStyle w:val="FirstParagraph"/>
      </w:pPr>
      <w:r>
        <w:t xml:space="preserve">In the realm of legal scholarship, citations to online sources are increasingly common. According to the Bluebook, Rule 18.2 requires permanent archived URLs for internet sources. This article discusses the importance of tools like PermaDrop for automating this process.</w:t>
      </w:r>
    </w:p>
    <w:p>
      <w:pPr>
        <w:pStyle w:val="BodyText"/>
      </w:pPr>
      <w:r>
        <w:t xml:space="preserve">For instance, the Harvard Law Review has published guidelines on digital citations, available at https://harvardlawreview.org/digital-citations/. Additionally, the American Bar Association provides resources on legal writing at https://www.americanbar.org/groups/legal_education/resources/legal_writing/.</w:t>
      </w:r>
    </w:p>
    <w:bookmarkEnd w:id="9"/>
    <w:bookmarkStart w:id="10" w:name="case-law-and-statutes"/>
    <w:p>
      <w:pPr>
        <w:pStyle w:val="Heading2"/>
      </w:pPr>
      <w:r>
        <w:t xml:space="preserve">Case Law and Statutes</w:t>
      </w:r>
    </w:p>
    <w:p>
      <w:pPr>
        <w:pStyle w:val="FirstParagraph"/>
      </w:pPr>
      <w:r>
        <w:t xml:space="preserve">Recent Supreme Court decisions, such as those found at https://www.supremecourt.gov/opinions/boundvolumes.aspx, highlight the need for permanent links. Similarly, federal statutes can be accessed via https://www.congress.gov/.</w:t>
      </w:r>
    </w:p>
    <w:bookmarkEnd w:id="10"/>
    <w:bookmarkStart w:id="11" w:name="conclusion"/>
    <w:p>
      <w:pPr>
        <w:pStyle w:val="Heading2"/>
      </w:pPr>
      <w:r>
        <w:t xml:space="preserve">Conclusion</w:t>
      </w:r>
    </w:p>
    <w:p>
      <w:pPr>
        <w:pStyle w:val="FirstParagraph"/>
      </w:pPr>
      <w:r>
        <w:t xml:space="preserve">By using tools that archive URLs automatically, legal scholars can ensure the longevity of their citations. PermaDrop exemplifies this innovation, as seen at https://permadrop.kirinchang.com/.</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2026-04-13T22:05:17Z</dcterms:created>
  <dcterms:modified xsi:type="dcterms:W3CDTF">2026-04-13T22:05:17Z</dcterms:modified>
</cp:coreProperties>
</file>

<file path=docProps/custom.xml><?xml version="1.0" encoding="utf-8"?>
<Properties xmlns="http://schemas.openxmlformats.org/officeDocument/2006/custom-properties" xmlns:vt="http://schemas.openxmlformats.org/officeDocument/2006/docPropsVTypes"/>
</file>