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Paragraph 1 — testing ID_NO_PRECEDING. </w:t>
      </w:r>
      <w:r>
        <w:footnoteReference w:id="2"/>
      </w:r>
    </w:p>
    <w:p>
      <w:r>
        <w:t xml:space="preserve">Paragraph 2 — normal full case citation (Bartnicki). </w:t>
      </w:r>
      <w:r>
        <w:footnoteReference w:id="3"/>
      </w:r>
    </w:p>
    <w:p>
      <w:r>
        <w:t xml:space="preserve">Paragraph 3 — normal Id. with pincite. </w:t>
      </w:r>
      <w:r>
        <w:footnoteReference w:id="4"/>
      </w:r>
    </w:p>
    <w:p>
      <w:r>
        <w:t xml:space="preserve">Paragraph 4 — normal see generally with explanatory parenthetical. </w:t>
      </w:r>
      <w:r>
        <w:footnoteReference w:id="5"/>
      </w:r>
    </w:p>
    <w:p>
      <w:r>
        <w:t xml:space="preserve">Paragraph 5 — normal direct quote with reporter pincite. </w:t>
      </w:r>
      <w:r>
        <w:footnoteReference w:id="6"/>
      </w:r>
    </w:p>
    <w:p>
      <w:r>
        <w:t xml:space="preserve">Paragraph 6 — normal supra note with pincite. </w:t>
      </w:r>
      <w:r>
        <w:footnoteReference w:id="7"/>
      </w:r>
    </w:p>
    <w:p>
      <w:r>
        <w:t xml:space="preserve">Paragraph 7 — see generally without explanatory parenthetical. </w:t>
      </w:r>
      <w:r>
        <w:footnoteReference w:id="8"/>
      </w:r>
    </w:p>
    <w:p>
      <w:r>
        <w:t xml:space="preserve">Paragraph 8 — direct quote without pincite. </w:t>
      </w:r>
      <w:r>
        <w:footnoteReference w:id="9"/>
      </w:r>
    </w:p>
    <w:p>
      <w:r>
        <w:t xml:space="preserve">Paragraph 9 — two-source footnote (sets up ambiguous Id.). </w:t>
      </w:r>
      <w:r>
        <w:footnoteReference w:id="10"/>
      </w:r>
    </w:p>
    <w:p>
      <w:r>
        <w:t xml:space="preserve">Paragraph 10 — Id. after ambiguous two-source footnote. </w:t>
      </w:r>
      <w:r>
        <w:footnoteReference w:id="11"/>
      </w:r>
    </w:p>
    <w:p>
      <w:r>
        <w:t xml:space="preserve">Paragraph 11 — supra note without pincite. </w:t>
      </w:r>
      <w:r>
        <w:footnoteReference w:id="12"/>
      </w:r>
    </w:p>
    <w:p>
      <w:r>
        <w:t xml:space="preserve">Paragraph 12 — supra note pointing to Id. short cite (fn 3). </w:t>
      </w:r>
      <w:r>
        <w:footnoteReference w:id="13"/>
      </w:r>
    </w:p>
    <w:p>
      <w:r>
        <w:t xml:space="preserve">Paragraph 13 — supra note pointing to nonexistent footnote 99. </w:t>
      </w:r>
      <w:r>
        <w:footnoteReference w:id="14"/>
      </w:r>
    </w:p>
    <w:p>
      <w:r>
        <w:t xml:space="preserve">Paragraph 14 — supra note pointing to future footnote 15. </w:t>
      </w:r>
      <w:r>
        <w:footnoteReference w:id="15"/>
      </w:r>
    </w:p>
    <w:p>
      <w:r>
        <w:t xml:space="preserve">Paragraph 15 — normal full case citation (Katz). </w:t>
      </w:r>
      <w:r>
        <w:footnoteReference w:id="16"/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type="continuationNotice" w:id="1">
    <w:p>
      <w:r>
        <w:t>Continued on next page</w:t>
      </w:r>
    </w:p>
  </w:footnote>
  <w:footnote w:id="2">
    <w:p>
      <w:r>
        <w:rPr>
          <w:vertAlign w:val="superscript"/>
        </w:rPr>
        <w:footnoteRef/>
      </w:r>
      <w:r>
        <w:t xml:space="preserve">Id. at 14.</w:t>
      </w:r>
    </w:p>
  </w:footnote>
  <w:footnote w:id="3">
    <w:p>
      <w:r>
        <w:rPr>
          <w:vertAlign w:val="superscript"/>
        </w:rPr>
        <w:footnoteRef/>
      </w:r>
      <w:r>
        <w:t xml:space="preserve">Bartnicki v. Vopper, 532 U.S. 514, 514 (2001).</w:t>
      </w:r>
    </w:p>
  </w:footnote>
  <w:footnote w:id="4">
    <w:p>
      <w:r>
        <w:rPr>
          <w:vertAlign w:val="superscript"/>
        </w:rPr>
        <w:footnoteRef/>
      </w:r>
      <w:r>
        <w:t xml:space="preserve">Id. at 518.</w:t>
      </w:r>
    </w:p>
  </w:footnote>
  <w:footnote w:id="5">
    <w:p>
      <w:r>
        <w:rPr>
          <w:vertAlign w:val="superscript"/>
        </w:rPr>
        <w:footnoteRef/>
      </w:r>
      <w:r>
        <w:t xml:space="preserve">See generally Jane Smith, The Future of Privacy Law, 120 Harv. L. Rev. 100 (2007) (arguing that privacy law requires comprehensive federal reform).</w:t>
      </w:r>
    </w:p>
  </w:footnote>
  <w:footnote w:id="6">
    <w:p>
      <w:r>
        <w:rPr>
          <w:vertAlign w:val="superscript"/>
        </w:rPr>
        <w:footnoteRef/>
      </w:r>
      <w:r>
        <w:t xml:space="preserve">The Court held that ‘the right to privacy cannot be abridged without compelling justification.’ Bartnicki v. Vopper, 532 U.S. 514, 516 (2001).</w:t>
      </w:r>
    </w:p>
  </w:footnote>
  <w:footnote w:id="7">
    <w:p>
      <w:r>
        <w:rPr>
          <w:vertAlign w:val="superscript"/>
        </w:rPr>
        <w:footnoteRef/>
      </w:r>
      <w:r>
        <w:t xml:space="preserve">See Bartnicki, supra note 2, at 516.</w:t>
      </w:r>
    </w:p>
  </w:footnote>
  <w:footnote w:id="8">
    <w:p>
      <w:r>
        <w:rPr>
          <w:vertAlign w:val="superscript"/>
        </w:rPr>
        <w:footnoteRef/>
      </w:r>
      <w:r>
        <w:t xml:space="preserve">See generally John Doe, Surveillance and Society 50 (2010).</w:t>
      </w:r>
    </w:p>
  </w:footnote>
  <w:footnote w:id="9">
    <w:p>
      <w:r>
        <w:rPr>
          <w:vertAlign w:val="superscript"/>
        </w:rPr>
        <w:footnoteRef/>
      </w:r>
      <w:r>
        <w:t xml:space="preserve">“Privacy is a fundamental human right and cornerstone of democratic society.” Smith v. Maryland, 442 U.S. 735 (1979).</w:t>
      </w:r>
    </w:p>
  </w:footnote>
  <w:footnote w:id="10">
    <w:p>
      <w:r>
        <w:rPr>
          <w:vertAlign w:val="superscript"/>
        </w:rPr>
        <w:footnoteRef/>
      </w:r>
      <w:r>
        <w:t xml:space="preserve">Bartnicki v. Vopper, 532 U.S. 514 (2001); Katz v. United States, 389 U.S. 347 (1967).</w:t>
      </w:r>
    </w:p>
  </w:footnote>
  <w:footnote w:id="11">
    <w:p>
      <w:r>
        <w:rPr>
          <w:vertAlign w:val="superscript"/>
        </w:rPr>
        <w:footnoteRef/>
      </w:r>
      <w:r>
        <w:t xml:space="preserve">Id. at 352.</w:t>
      </w:r>
    </w:p>
  </w:footnote>
  <w:footnote w:id="12">
    <w:p>
      <w:r>
        <w:rPr>
          <w:vertAlign w:val="superscript"/>
        </w:rPr>
        <w:footnoteRef/>
      </w:r>
      <w:r>
        <w:t xml:space="preserve">See Bartnicki, supra note 2.</w:t>
      </w:r>
    </w:p>
  </w:footnote>
  <w:footnote w:id="13">
    <w:p>
      <w:r>
        <w:rPr>
          <w:vertAlign w:val="superscript"/>
        </w:rPr>
        <w:footnoteRef/>
      </w:r>
      <w:r>
        <w:t xml:space="preserve">See supra note 3.</w:t>
      </w:r>
    </w:p>
  </w:footnote>
  <w:footnote w:id="14">
    <w:p>
      <w:r>
        <w:rPr>
          <w:vertAlign w:val="superscript"/>
        </w:rPr>
        <w:footnoteRef/>
      </w:r>
      <w:r>
        <w:t xml:space="preserve">See Smith, supra note 99.</w:t>
      </w:r>
    </w:p>
  </w:footnote>
  <w:footnote w:id="15">
    <w:p>
      <w:r>
        <w:rPr>
          <w:vertAlign w:val="superscript"/>
        </w:rPr>
        <w:footnoteRef/>
      </w:r>
      <w:r>
        <w:t xml:space="preserve">See Jones, supra note 15.</w:t>
      </w:r>
    </w:p>
  </w:footnote>
  <w:footnote w:id="16">
    <w:p>
      <w:r>
        <w:rPr>
          <w:vertAlign w:val="superscript"/>
        </w:rPr>
        <w:footnoteRef/>
      </w:r>
      <w:r>
        <w:t xml:space="preserve">Katz v. United States, 389 U.S. 347, 360 (1967).</w:t>
      </w:r>
    </w:p>
  </w:footnote>
</w:footnot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footnotes" Target="footnotes.xml"/>
</Relationships>
</file>