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rticleTitle"/>
      </w:pPr>
      <w:r>
        <w:t xml:space="preserve">SupraDrop Test Fixture: A Demonstration of All Nineteen Bluebook Citation Error Rules</w:t>
      </w:r>
    </w:p>
    <w:p/>
    <w:p>
      <w:pPr>
        <w:pStyle w:val="YourName"/>
      </w:pPr>
      <w:r>
        <w:t>Kirin Chang</w:t>
      </w:r>
      <w:r>
        <w:rPr>
          <w:rStyle w:val="FootnoteReference"/>
        </w:rPr>
        <w:footnoteReference w:customMarkFollows="1" w:id="1"/>
        <w:t>*</w:t>
      </w:r>
    </w:p>
    <w:p/>
    <w:p>
      <w:pPr>
        <w:tabs>
          <w:tab w:val="left" w:pos="0"/>
        </w:tabs>
        <w:spacing w:after="40"/>
        <w:ind w:right="-40" w:firstLine="0"/>
        <w:jc w:val="center"/>
        <w:rPr>
          <w:smallCaps/>
          <w:szCs w:val="24"/>
        </w:rPr>
      </w:pPr>
      <w:r>
        <w:rPr>
          <w:smallCaps/>
          <w:szCs w:val="24"/>
        </w:rPr>
        <w:t>Abstract</w:t>
      </w:r>
    </w:p>
    <w:p>
      <w:pPr>
        <w:tabs>
          <w:tab w:val="left" w:pos="360"/>
        </w:tabs>
        <w:spacing w:after="40"/>
        <w:ind w:right="-43" w:firstLine="270"/>
        <w:rPr>
          <w:szCs w:val="24"/>
        </w:rPr>
      </w:pPr>
      <w:r>
        <w:rPr>
          <w:szCs w:val="24"/>
        </w:rPr>
        <w:t xml:space="preserve">This document serves as both a test fixture and a promotional artifact for SupraDrop, a browser-based Bluebook citation auditing tool developed by Kirin Chang as part of the lawreview.tools suite. The lawreview.tools suite comprises three tools designed to assist law review authors with citation compliance, permanent archiving, and document preparation: PermaDrop, SupraDrop, and Zotero Perma Archiver. All three tools operate entirely within the browser, transmit no data to any server, and are released as free, open-source software under the GNU Affero General Public License. The footnotes of this document deliberately trigger each of the nineteen citation error rules implemented in SupraDrop, allowing readers to verify that the tool correctly identifies and reports every error category. The body text introduces the lawreview.tools project, its developer, and the design principles behind the suite.</w:t>
      </w:r>
    </w:p>
    <w:p>
      <w:pPr>
        <w:tabs>
          <w:tab w:val="left" w:pos="0"/>
        </w:tabs>
        <w:spacing w:before="240" w:after="40"/>
        <w:ind w:right="-43" w:firstLine="0"/>
        <w:jc w:val="center"/>
        <w:rPr>
          <w:smallCaps/>
          <w:szCs w:val="24"/>
        </w:rPr>
      </w:pPr>
      <w:r>
        <w:rPr>
          <w:smallCaps/>
          <w:szCs w:val="24"/>
        </w:rPr>
        <w:t>Table of Contents</w:t>
      </w:r>
    </w:p>
    <w:p>
      <w:pPr>
        <w:pStyle w:val="TOC1"/>
      </w:pPr>
      <w:r>
        <w:t>Introduction</w:t>
      </w:r>
    </w:p>
    <w:p>
      <w:pPr>
        <w:pStyle w:val="TOC1"/>
      </w:pPr>
      <w:r>
        <w:t>I.  The lawreview.tools Suite</w:t>
      </w:r>
    </w:p>
    <w:p>
      <w:pPr>
        <w:pStyle w:val="TOC2"/>
      </w:pPr>
      <w:r>
        <w:t>A.  PermaDrop</w:t>
      </w:r>
    </w:p>
    <w:p>
      <w:pPr>
        <w:pStyle w:val="TOC2"/>
      </w:pPr>
      <w:r>
        <w:t>B.  Zotero Perma Archiver</w:t>
      </w:r>
    </w:p>
    <w:p>
      <w:pPr>
        <w:pStyle w:val="TOC2"/>
      </w:pPr>
      <w:r>
        <w:t>C.  SupraDrop</w:t>
      </w:r>
    </w:p>
    <w:p>
      <w:pPr>
        <w:pStyle w:val="TOC1"/>
      </w:pPr>
      <w:r>
        <w:t>II.  The Nineteen Citation Error Rules</w:t>
      </w:r>
    </w:p>
    <w:p>
      <w:pPr>
        <w:pStyle w:val="TOC2"/>
      </w:pPr>
      <w:r>
        <w:t>A.  Supra Citation Errors</w:t>
      </w:r>
    </w:p>
    <w:p>
      <w:pPr>
        <w:pStyle w:val="TOC2"/>
      </w:pPr>
      <w:r>
        <w:t>B.  Id. Citation Errors</w:t>
      </w:r>
    </w:p>
    <w:p>
      <w:pPr>
        <w:pStyle w:val="TOC2"/>
      </w:pPr>
      <w:r>
        <w:t>C.  Signal and Pincite Errors</w:t>
      </w:r>
    </w:p>
    <w:p>
      <w:pPr>
        <w:pStyle w:val="TOC2"/>
      </w:pPr>
      <w:r>
        <w:t>D.  Miscellaneous Errors</w:t>
      </w:r>
    </w:p>
    <w:p>
      <w:pPr>
        <w:pStyle w:val="TOC1"/>
      </w:pPr>
      <w:r>
        <w:t>Conclusion</w:t>
      </w:r>
    </w:p>
    <w:p/>
    <w:p>
      <w:pPr>
        <w:pStyle w:val="Heading1"/>
      </w:pPr>
      <w:bookmarkStart w:id="10" w:name="_Toc_Intro"/>
      <w:r>
        <w:t>Introduction</w:t>
      </w:r>
      <w:bookmarkEnd w:id="10"/>
    </w:p>
    <w:p>
      <w:r>
        <w:t xml:space="preserve">Bluebook citation compliance is among the most persistent challenges facing law review authors and editors. A single article may contain hundreds of footnotes, each subject to dozens of formal requirements governing source type, signal use, pincite format, short-form usage, and internet citation archiving. Human review of citation mechanics is error-prone and labor-intensive, and no widely adopted tool existed to automate this process for Microsoft Word documents until the development of the lawreview.tools suite.</w:t>
      </w:r>
    </w:p>
    <w:p>
      <w:r>
        <w:t xml:space="preserve">The lawreview.tools suite was developed by Kirin Chang,</w:t>
      </w:r>
      <w:r>
        <w:t xml:space="preserve"> a software engineer and law student whose work sits at the intersection of legal scholarship and software development. The suite addresses three distinct pain points in the law review publication workflow: generating permanent archive links for internet citations (PermaDrop), auditing footnotes for Bluebook citation errors (SupraDrop), and integrating the Zotero reference manager with the perma.cc archiving service (Zotero Perma Archiver). Each tool is designed to run entirely within a modern web browser, requiring no installation and transmitting no data to any external server.</w:t>
      </w:r>
    </w:p>
    <w:p>
      <w:r>
        <w:t xml:space="preserve">This document is intended to serve two purposes simultaneously. First, it functions as a test fixture: each of the nineteen citation error rules implemented in SupraDrop is deliberately triggered in at least one footnote below, enabling users and developers to confirm that the tool correctly identifies all supported error types.</w:t>
      </w:r>
      <w:r>
        <w:rPr>
          <w:rStyle w:val="FootnoteReference"/>
        </w:rPr>
        <w:footnoteReference w:id="2"/>
      </w:r>
      <w:r>
        <w:t xml:space="preserve"> Second, it serves as a demonstration of the professional formatting supported by the lawreview.tools article template, which is itself based on the widely used Volokh-Johnson law review template.</w:t>
      </w:r>
      <w:r>
        <w:rPr>
          <w:rStyle w:val="FootnoteReference"/>
        </w:rPr>
        <w:footnoteReference w:id="3"/>
      </w:r>
    </w:p>
    <w:p>
      <w:pPr>
        <w:pStyle w:val="Heading1"/>
      </w:pPr>
      <w:bookmarkStart w:id="11" w:name="_Toc_Suite"/>
      <w:r>
        <w:t>I.  The lawreview.tools Suite</w:t>
      </w:r>
      <w:bookmarkEnd w:id="11"/>
    </w:p>
    <w:p>
      <w:r>
        <w:t xml:space="preserve">The lawreview.tools suite is hosted at lawreview.tools and is available free of charge. All source code is published on GitHub under the AGPL-3.0 license. The suite is designed around a single core principle: every operation must occur in the browser, with no data leaving the user's device. This design choice reflects both a privacy commitment and a practical constraint, as law review manuscripts frequently contain unpublished research, attorney-client communications, and other sensitive material.</w:t>
      </w:r>
      <w:r>
        <w:rPr>
          <w:rStyle w:val="FootnoteReference"/>
        </w:rPr>
        <w:footnoteReference w:id="4"/>
      </w:r>
    </w:p>
    <w:p>
      <w:pPr>
        <w:pStyle w:val="Heading2"/>
      </w:pPr>
      <w:r>
        <w:t>A.  PermaDrop</w:t>
      </w:r>
    </w:p>
    <w:p>
      <w:r>
        <w:t xml:space="preserve">PermaDrop addresses a requirement introduced by Bluebook Rule 18.2: every internet source cited in a law review article must include a permanent archive link, typically generated through the perma.cc service operated by the Harvard Library Innovation Lab. For articles with dozens or hundreds of internet citations, generating and inserting these links manually is a significant burden. PermaDrop accepts a Word document, identifies all footnote URLs, archives them through perma.cc, and returns a redlined copy of the document with the archive links inserted in the correct Bluebook format.</w:t>
      </w:r>
      <w:r>
        <w:rPr>
          <w:rStyle w:val="FootnoteReference"/>
        </w:rPr>
        <w:footnoteReference w:id="5"/>
      </w:r>
    </w:p>
    <w:p>
      <w:pPr>
        <w:pStyle w:val="Heading2"/>
      </w:pPr>
      <w:r>
        <w:t>B.  Zotero Perma Archiver</w:t>
      </w:r>
    </w:p>
    <w:p>
      <w:r>
        <w:t xml:space="preserve">Zotero Perma Archiver is a plugin for the Zotero reference management application. It integrates Zotero's citation workflow with the perma.cc archiving API, allowing authors to archive URLs at the point of citation rather than in a post-drafting cleanup pass. The plugin reflects the broader design philosophy of the lawreview.tools suite: reducing friction in the citation compliance process by integrating tools directly into existing research workflows.</w:t>
      </w:r>
      <w:r>
        <w:rPr>
          <w:rStyle w:val="FootnoteReference"/>
        </w:rPr>
        <w:footnoteReference w:id="6"/>
      </w:r>
    </w:p>
    <w:p>
      <w:pPr>
        <w:pStyle w:val="Heading2"/>
      </w:pPr>
      <w:r>
        <w:t>C.  SupraDrop</w:t>
      </w:r>
    </w:p>
    <w:p>
      <w:r>
        <w:t xml:space="preserve">SupraDrop is the citation auditing component of the lawreview.tools suite. It accepts a Word document and analyzes every footnote for compliance with the nineteen Bluebook citation rules described in Part II. The tool parses the footnote text, reconstructs the citation graph (including supra and id. chains), and reports each detected violation with a reference to the affected footnote number. SupraDrop operates without any server-side processing: all analysis is performed in JavaScript within the user's browser.</w:t>
      </w:r>
      <w:r>
        <w:rPr>
          <w:rStyle w:val="FootnoteReference"/>
        </w:rPr>
        <w:footnoteReference w:id="7"/>
      </w:r>
    </w:p>
    <w:p>
      <w:pPr>
        <w:pStyle w:val="Heading1"/>
      </w:pPr>
      <w:bookmarkStart w:id="12" w:name="_Toc_Rules"/>
      <w:r>
        <w:t>II.  The Nineteen Citation Error Rules</w:t>
      </w:r>
      <w:bookmarkEnd w:id="12"/>
    </w:p>
    <w:p>
      <w:r>
        <w:t xml:space="preserve">SupraDrop implements nineteen citation error rules, grouped into four categories: supra citation errors, id. citation errors, signal and pincite errors, and miscellaneous errors. Each rule corresponds to a distinct violation of The Bluebook: A Uniform System of Citation.</w:t>
      </w:r>
      <w:r>
        <w:rPr>
          <w:rStyle w:val="FootnoteReference"/>
        </w:rPr>
        <w:footnoteReference w:id="8"/>
      </w:r>
    </w:p>
    <w:p>
      <w:pPr>
        <w:pStyle w:val="Heading2"/>
      </w:pPr>
      <w:r>
        <w:t>A.  Supra Citation Errors</w:t>
      </w:r>
    </w:p>
    <w:p>
      <w:r>
        <w:t xml:space="preserve">The supra short form is among the most frequently misused citation conventions in student-edited law reviews. SupraDrop identifies six categories of supra error. First, a supra citation may refer to a footnote number that does not exist in the document. Second, a supra citation may point forward to a footnote that has not yet appeared, violating the retrospective function of the supra form. Third, a supra citation may point to a footnote that is itself a short cite, rather than the original full citation. Fourth, the author name or title in a supra citation may not match the source at the referenced footnote. Fifth, supra may be applied to a source type that does not admit of supra citation under the Bluebook, such as a statute or regulation.</w:t>
      </w:r>
      <w:r>
        <w:rPr>
          <w:rStyle w:val="FootnoteReference"/>
        </w:rPr>
        <w:footnoteReference w:id="9"/>
      </w:r>
      <w:r>
        <w:t xml:space="preserve"> Sixth, a supra citation may omit the required pincite.</w:t>
      </w:r>
      <w:r>
        <w:rPr>
          <w:rStyle w:val="FootnoteReference"/>
        </w:rPr>
        <w:footnoteReference w:id="10"/>
      </w:r>
    </w:p>
    <w:p>
      <w:r>
        <w:t xml:space="preserve">The sixth supra error, omission of the pincite, is particularly common when authors are uncertain whether a pincite is required for a given short form.</w:t>
      </w:r>
      <w:r>
        <w:rPr>
          <w:rStyle w:val="FootnoteReference"/>
        </w:rPr>
        <w:footnoteReference w:id="11"/>
      </w:r>
      <w:r>
        <w:t xml:space="preserve"> The Bluebook generally requires a pincite with every supra citation unless the source has been assigned a hereinafter designation in the original footnote.</w:t>
      </w:r>
      <w:r>
        <w:rPr>
          <w:rStyle w:val="FootnoteReference"/>
        </w:rPr>
        <w:footnoteReference w:id="12"/>
      </w:r>
    </w:p>
    <w:p>
      <w:pPr>
        <w:pStyle w:val="Heading2"/>
      </w:pPr>
      <w:r>
        <w:t>B.  Id. Citation Errors</w:t>
      </w:r>
    </w:p>
    <w:p>
      <w:r>
        <w:t xml:space="preserve">The id. short form presents a different class of problems. SupraDrop identifies three id. citation errors. The first arises when id. is used in a footnote that has no preceding footnote containing a citable source: because id. means "in the same place," it requires a prior citation to refer to. The second error occurs when id. is used following a footnote that cites multiple sources, making the referent of id. ambiguous.</w:t>
      </w:r>
      <w:r>
        <w:rPr>
          <w:rStyle w:val="FootnoteReference"/>
        </w:rPr>
        <w:footnoteReference w:id="13"/>
      </w:r>
    </w:p>
    <w:p>
      <w:r>
        <w:t xml:space="preserve">The third id. error, staleness, arises when an id. citation appears following a footnote whose own citation chain has been interrupted by a footnote citing a different source.</w:t>
      </w:r>
      <w:r>
        <w:rPr>
          <w:rStyle w:val="FootnoteReference"/>
        </w:rPr>
        <w:footnoteReference w:id="14"/>
      </w:r>
      <w:r>
        <w:t xml:space="preserve"> These three categories together address the most common misuses of the id. short form encountered in the law review editing process.</w:t>
      </w:r>
      <w:r>
        <w:rPr>
          <w:rStyle w:val="FootnoteReference"/>
        </w:rPr>
        <w:footnoteReference w:id="15"/>
      </w:r>
    </w:p>
    <w:p>
      <w:r>
        <w:t xml:space="preserve">The distinction between id. ambiguity and id. staleness is subtle but important. Ambiguity arises from multiple sources within a single footnote; staleness arises from multiple sources across sequential footnotes.</w:t>
      </w:r>
      <w:r>
        <w:rPr>
          <w:rStyle w:val="FootnoteReference"/>
        </w:rPr>
        <w:footnoteReference w:id="16"/>
      </w:r>
      <w:r>
        <w:t xml:space="preserve"> Both errors reflect the same underlying concern: that id. must unambiguously identify a single source.</w:t>
      </w:r>
      <w:r>
        <w:rPr>
          <w:rStyle w:val="FootnoteReference"/>
        </w:rPr>
        <w:footnoteReference w:id="17"/>
      </w:r>
    </w:p>
    <w:p>
      <w:r>
        <w:t xml:space="preserve">Editors reviewing id. usage should pay particular attention to footnotes that follow block quotation footnotes, which often cite the quoted source alongside additional commentary sources, and to footnotes that follow signal-heavy footnotes listing several authorities.</w:t>
      </w:r>
      <w:r>
        <w:rPr>
          <w:rStyle w:val="FootnoteReference"/>
        </w:rPr>
        <w:footnoteReference w:id="18"/>
      </w:r>
    </w:p>
    <w:p>
      <w:pPr>
        <w:pStyle w:val="Heading2"/>
      </w:pPr>
      <w:r>
        <w:t>C.  Signal and Pincite Errors</w:t>
      </w:r>
    </w:p>
    <w:p>
      <w:r>
        <w:t xml:space="preserve">SupraDrop also enforces several rules regarding the use of introductory signals. The signals cf., but cf., compare...with..., and see generally each require an explanatory parenthetical under the Bluebook.</w:t>
      </w:r>
      <w:r>
        <w:rPr>
          <w:rStyle w:val="FootnoteReference"/>
        </w:rPr>
        <w:footnoteReference w:id="19"/>
      </w:r>
      <w:r>
        <w:t xml:space="preserve"> The parenthetical obligation reflects the function of these signals: they assert a relationship between the cited source and the proposition in the text that requires explanation.</w:t>
      </w:r>
      <w:r>
        <w:rPr>
          <w:rStyle w:val="FootnoteReference"/>
        </w:rPr>
        <w:footnoteReference w:id="20"/>
      </w:r>
    </w:p>
    <w:p>
      <w:r>
        <w:t xml:space="preserve">Beyond signal errors, SupraDrop checks for two categories of pincite formatting error.</w:t>
      </w:r>
      <w:r>
        <w:rPr>
          <w:rStyle w:val="FootnoteReference"/>
        </w:rPr>
        <w:footnoteReference w:id="21"/>
      </w:r>
      <w:r>
        <w:t xml:space="preserve"> First, pincites spanning a page range must use an en dash rather than a hyphen. Second, pincite ranges must be expressed in shortened form: for example, 201-05 rather than 201-205.</w:t>
      </w:r>
      <w:r>
        <w:rPr>
          <w:rStyle w:val="FootnoteReference"/>
        </w:rPr>
        <w:footnoteReference w:id="22"/>
      </w:r>
      <w:r>
        <w:t xml:space="preserve"> These formatting requirements are specified in Bluebook Rule 3.2(a).</w:t>
      </w:r>
      <w:r>
        <w:rPr>
          <w:rStyle w:val="FootnoteReference"/>
        </w:rPr>
        <w:footnoteReference w:id="23"/>
      </w:r>
    </w:p>
    <w:p>
      <w:r>
        <w:t xml:space="preserve">A separate rule addresses the use of quotation without a pincite. When an author quotes material from a source, the Bluebook requires that the citation identify the specific page from which the quotation is drawn.</w:t>
      </w:r>
      <w:r>
        <w:rPr>
          <w:rStyle w:val="FootnoteReference"/>
        </w:rPr>
        <w:footnoteReference w:id="24"/>
      </w:r>
      <w:r>
        <w:t xml:space="preserve"> This requirement applies regardless of whether the source has been previously cited.</w:t>
      </w:r>
      <w:r>
        <w:rPr>
          <w:rStyle w:val="FootnoteReference"/>
        </w:rPr>
        <w:footnoteReference w:id="25"/>
      </w:r>
    </w:p>
    <w:p>
      <w:pPr>
        <w:pStyle w:val="Heading2"/>
      </w:pPr>
      <w:r>
        <w:t>D.  Miscellaneous Errors</w:t>
      </w:r>
    </w:p>
    <w:p>
      <w:r>
        <w:t xml:space="preserve">The final category of SupraDrop rules covers three miscellaneous errors. First, every footnote must end with a period; SupraDrop flags footnotes that lack terminal punctuation.</w:t>
      </w:r>
      <w:r>
        <w:rPr>
          <w:rStyle w:val="FootnoteReference"/>
        </w:rPr>
        <w:footnoteReference w:id="26"/>
      </w:r>
      <w:r>
        <w:t xml:space="preserve"> Second, internet citations must include a perma.cc archive link in addition to the original URL. Third, a source assigned a hereinafter designation must actually be cited using that designation in a subsequent footnote; if the hereinafter abbreviation is defined but never used, the definition is superfluous and should be removed.</w:t>
      </w:r>
      <w:r>
        <w:rPr>
          <w:rStyle w:val="FootnoteReference"/>
        </w:rPr>
        <w:footnoteReference w:id="27"/>
      </w:r>
    </w:p>
    <w:p>
      <w:r>
        <w:t xml:space="preserve">The hereinafter rule is particularly useful for catching a common editorial oversight: an author defines a hereinafter abbreviation in an early footnote but subsequently uses the full title or supra form throughout the remainder of the article, never employing the defined abbreviation.</w:t>
      </w:r>
      <w:r>
        <w:rPr>
          <w:rStyle w:val="FootnoteReference"/>
        </w:rPr>
        <w:footnoteReference w:id="28"/>
      </w:r>
      <w:r>
        <w:t xml:space="preserve"> SupraDrop identifies these orphaned hereinafter definitions at the document level.</w:t>
      </w:r>
      <w:r>
        <w:rPr>
          <w:rStyle w:val="FootnoteReference"/>
        </w:rPr>
        <w:footnoteReference w:id="29"/>
      </w:r>
      <w:r>
        <w:t xml:space="preserve"> The full list of rules and their corresponding Bluebook provisions is available in the SupraDrop documentation.</w:t>
      </w:r>
      <w:r>
        <w:rPr>
          <w:rStyle w:val="FootnoteReference"/>
        </w:rPr>
        <w:footnoteReference w:id="30"/>
      </w:r>
    </w:p>
    <w:p>
      <w:pPr>
        <w:pStyle w:val="Heading1"/>
      </w:pPr>
      <w:bookmarkStart w:id="13" w:name="_Toc_Conclusion"/>
      <w:r>
        <w:t>Conclusion</w:t>
      </w:r>
      <w:bookmarkEnd w:id="13"/>
    </w:p>
    <w:p>
      <w:r>
        <w:t xml:space="preserve">The lawreview.tools suite represents an effort to bring systematic, automated citation auditing to the law review publication process. By implementing nineteen discrete citation error rules derived from the Bluebook, SupraDrop enables authors and editors to identify violations that would otherwise require painstaking manual review. PermaDrop and Zotero Perma Archiver address the complementary requirement of permanent archiving for internet sources. All three tools are freely available, open-source, and designed for immediate use without installation or server-side infrastructure.</w:t>
      </w:r>
    </w:p>
    <w:p>
      <w:r>
        <w:t xml:space="preserve">This document, by demonstrating each of the nineteen SupraDrop rules in a single set of footnotes, serves both as a verification fixture for developers and as a practical illustration of the range of citation errors that SupraDrop is designed to detect. Readers who download this document and process it through SupraDrop at supradrop.lawreview.tools should observe nineteen distinct error reports, one for each rule described in Part II.</w:t>
      </w:r>
    </w:p>
    <w:p/>
    <w:sectPr>
      <w:headerReference w:type="even" r:id="rId7"/>
      <w:headerReference w:type="default" r:id="rId8"/>
      <w:pgSz w:w="12240" w:h="15840" w:code="1"/>
      <w:pgMar w:top="2016" w:right="2448" w:bottom="2016" w:left="2448" w:header="1512"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5CB5" w:rsidRDefault="00395CB5">
      <w:r>
        <w:separator/>
      </w:r>
    </w:p>
  </w:endnote>
  <w:endnote w:type="continuationSeparator" w:id="0">
    <w:p w:rsidR="00395CB5" w:rsidRDefault="00395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 w:id="1">
    <w:p>
      <w:pPr>
        <w:pStyle w:val="FootnoteText"/>
      </w:pPr>
      <w:r>
        <w:rPr>
          <w:rStyle w:val="FootnoteReference"/>
        </w:rPr>
        <w:t>*</w:t>
      </w:r>
      <w:r>
        <w:t xml:space="preserve"> Developer, lawreview.tools; B.S., New York University. The author may be reached at kirin@lawreview.tools. This document is released under the Creative Commons Attribution 4.0 International License and is intended for use as a test fixture for the SupraDrop citation auditing tool, available at supradrop.lawreview.tools.</w:t>
      </w:r>
    </w:p>
  </w:footnote>
  <w:footnote w:id="2">
    <w:p>
      <w:pPr>
        <w:pStyle w:val="FootnoteText"/>
      </w:pPr>
      <w:r>
        <w:rPr>
          <w:rStyle w:val="FootnoteReference"/>
        </w:rPr>
        <w:footnoteRef/>
      </w:r>
      <w:r>
        <w:t xml:space="preserve"> Smith, supra note 99, at 1218. [SUPRA_NONEXISTENT: footnote 99 does not exist in this document.]</w:t>
      </w:r>
    </w:p>
  </w:footnote>
  <w:footnote w:id="3">
    <w:p>
      <w:pPr>
        <w:pStyle w:val="FootnoteText"/>
      </w:pPr>
      <w:r>
        <w:rPr>
          <w:rStyle w:val="FootnoteReference"/>
        </w:rPr>
        <w:footnoteRef/>
      </w:r>
      <w:r>
        <w:t xml:space="preserve"> Jane Smith, Bluebook Compliance in Modern Legal Writing, 115 Harv. L. Rev. 1200 (2022).</w:t>
      </w:r>
    </w:p>
  </w:footnote>
  <w:footnote w:id="4">
    <w:p>
      <w:pPr>
        <w:pStyle w:val="FootnoteText"/>
      </w:pPr>
      <w:r>
        <w:rPr>
          <w:rStyle w:val="FootnoteReference"/>
        </w:rPr>
        <w:footnoteRef/>
      </w:r>
      <w:r>
        <w:t xml:space="preserve"> See Smith, supra note 8, at 1210. [SUPRA_FORWARD: footnote 8 comes after this footnote.]</w:t>
      </w:r>
    </w:p>
  </w:footnote>
  <w:footnote w:id="5">
    <w:p>
      <w:pPr>
        <w:pStyle w:val="FootnoteText"/>
      </w:pPr>
      <w:r>
        <w:rPr>
          <w:rStyle w:val="FootnoteReference"/>
        </w:rPr>
        <w:footnoteRef/>
      </w:r>
      <w:r>
        <w:t xml:space="preserve"> Smith, supra note 2, at 1205.</w:t>
      </w:r>
    </w:p>
  </w:footnote>
  <w:footnote w:id="6">
    <w:p>
      <w:pPr>
        <w:pStyle w:val="FootnoteText"/>
      </w:pPr>
      <w:r>
        <w:rPr>
          <w:rStyle w:val="FootnoteReference"/>
        </w:rPr>
        <w:footnoteRef/>
      </w:r>
      <w:r>
        <w:t xml:space="preserve"> Smith, supra note 4, at 1208. [SUPRA_TO_SHORT_CITE: footnote 4 is itself a supra short cite, not a full citation.]</w:t>
      </w:r>
    </w:p>
  </w:footnote>
  <w:footnote w:id="7">
    <w:p>
      <w:pPr>
        <w:pStyle w:val="FootnoteText"/>
      </w:pPr>
      <w:r>
        <w:rPr>
          <w:rStyle w:val="FootnoteReference"/>
        </w:rPr>
        <w:footnoteRef/>
      </w:r>
      <w:r>
        <w:t xml:space="preserve"> Robert Jones, Citation Practice in Student-Edited Law Reviews, 45 Yale L.J. 200 (2021).</w:t>
      </w:r>
    </w:p>
  </w:footnote>
  <w:footnote w:id="8">
    <w:p>
      <w:pPr>
        <w:pStyle w:val="FootnoteText"/>
      </w:pPr>
      <w:r>
        <w:rPr>
          <w:rStyle w:val="FootnoteReference"/>
        </w:rPr>
        <w:footnoteRef/>
      </w:r>
      <w:r>
        <w:t xml:space="preserve"> David Brown, Legal Methodology and Citation Form, 80 Cornell L. Rev. 500 (2020).</w:t>
      </w:r>
    </w:p>
  </w:footnote>
  <w:footnote w:id="9">
    <w:p>
      <w:pPr>
        <w:pStyle w:val="FootnoteText"/>
      </w:pPr>
      <w:r>
        <w:rPr>
          <w:rStyle w:val="FootnoteReference"/>
        </w:rPr>
        <w:footnoteRef/>
      </w:r>
      <w:r>
        <w:t xml:space="preserve"> Johnson, supra note 7, at 512. [SUPRA_MISMATCH: the author name does not match the source at footnote 7, which is by Brown, not Johnson.]</w:t>
      </w:r>
    </w:p>
  </w:footnote>
  <w:footnote w:id="10">
    <w:p>
      <w:pPr>
        <w:pStyle w:val="FootnoteText"/>
      </w:pPr>
      <w:r>
        <w:rPr>
          <w:rStyle w:val="FootnoteReference"/>
        </w:rPr>
        <w:footnoteRef/>
      </w:r>
      <w:r>
        <w:t xml:space="preserve"> 5 U.S.C. § 553 (2018).</w:t>
      </w:r>
    </w:p>
  </w:footnote>
  <w:footnote w:id="11">
    <w:p>
      <w:pPr>
        <w:pStyle w:val="FootnoteText"/>
      </w:pPr>
      <w:r>
        <w:rPr>
          <w:rStyle w:val="FootnoteReference"/>
        </w:rPr>
        <w:footnoteRef/>
      </w:r>
      <w:r>
        <w:t xml:space="preserve"> 5 U.S.C. § 553, supra note 9. [SUPRA_WRONG_SOURCE_TYPE: supra may not be used to short-cite statutes and regulations under Bluebook Rule 12.]</w:t>
      </w:r>
    </w:p>
  </w:footnote>
  <w:footnote w:id="12">
    <w:p>
      <w:pPr>
        <w:pStyle w:val="FootnoteText"/>
      </w:pPr>
      <w:r>
        <w:rPr>
          <w:rStyle w:val="FootnoteReference"/>
        </w:rPr>
        <w:footnoteRef/>
      </w:r>
      <w:r>
        <w:t xml:space="preserve"> See Smith, supra note 2. [SUPRA_NO_PINCITE: a pincite is required when the supra form is used without a hereinafter designation.]</w:t>
      </w:r>
    </w:p>
  </w:footnote>
  <w:footnote w:id="13">
    <w:p>
      <w:pPr>
        <w:pStyle w:val="FootnoteText"/>
      </w:pPr>
      <w:r>
        <w:rPr>
          <w:rStyle w:val="FootnoteReference"/>
        </w:rPr>
        <w:footnoteRef/>
      </w:r>
      <w:r>
        <w:t xml:space="preserve"> See Smith, supra note 2, at 1202; Jones, supra note 6, at 202.</w:t>
      </w:r>
    </w:p>
  </w:footnote>
  <w:footnote w:id="14">
    <w:p>
      <w:pPr>
        <w:pStyle w:val="FootnoteText"/>
      </w:pPr>
      <w:r>
        <w:rPr>
          <w:rStyle w:val="FootnoteReference"/>
        </w:rPr>
        <w:footnoteRef/>
      </w:r>
      <w:r>
        <w:t xml:space="preserve"> Id. at 1203. [ID_AMBIGUOUS: the preceding footnote cites two sources, making the referent of id. ambiguous.]</w:t>
      </w:r>
    </w:p>
  </w:footnote>
  <w:footnote w:id="15">
    <w:p>
      <w:pPr>
        <w:pStyle w:val="FootnoteText"/>
      </w:pPr>
      <w:r>
        <w:rPr>
          <w:rStyle w:val="FootnoteReference"/>
        </w:rPr>
        <w:footnoteRef/>
      </w:r>
      <w:r>
        <w:t xml:space="preserve"> This convention is documented in the SupraDrop user guide, available in the GitHub repository at github.com/kirinse/SupraDrop.</w:t>
      </w:r>
    </w:p>
  </w:footnote>
  <w:footnote w:id="16">
    <w:p>
      <w:pPr>
        <w:pStyle w:val="FootnoteText"/>
      </w:pPr>
      <w:r>
        <w:rPr>
          <w:rStyle w:val="FootnoteReference"/>
        </w:rPr>
        <w:footnoteRef/>
      </w:r>
      <w:r>
        <w:t xml:space="preserve"> Id. at 808. [ID_NO_PRECEDING: the preceding footnote contains no citable source, so id. has no referent.]</w:t>
      </w:r>
    </w:p>
  </w:footnote>
  <w:footnote w:id="17">
    <w:p>
      <w:pPr>
        <w:pStyle w:val="FootnoteText"/>
      </w:pPr>
      <w:r>
        <w:rPr>
          <w:rStyle w:val="FootnoteReference"/>
        </w:rPr>
        <w:footnoteRef/>
      </w:r>
      <w:r>
        <w:t xml:space="preserve"> Mary Wilson, Digital Rights and Legal Authorship, 60 Stan. L. Rev. 800, 808 (2019).</w:t>
      </w:r>
    </w:p>
  </w:footnote>
  <w:footnote w:id="18">
    <w:p>
      <w:pPr>
        <w:pStyle w:val="FootnoteText"/>
      </w:pPr>
      <w:r>
        <w:rPr>
          <w:rStyle w:val="FootnoteReference"/>
        </w:rPr>
        <w:footnoteRef/>
      </w:r>
      <w:r>
        <w:t xml:space="preserve"> Id. at 815.</w:t>
      </w:r>
    </w:p>
  </w:footnote>
  <w:footnote w:id="19">
    <w:p>
      <w:pPr>
        <w:pStyle w:val="FootnoteText"/>
      </w:pPr>
      <w:r>
        <w:rPr>
          <w:rStyle w:val="FootnoteReference"/>
        </w:rPr>
        <w:footnoteRef/>
      </w:r>
      <w:r>
        <w:t xml:space="preserve"> See Jones, supra note 6, at 205.</w:t>
      </w:r>
    </w:p>
  </w:footnote>
  <w:footnote w:id="20">
    <w:p>
      <w:pPr>
        <w:pStyle w:val="FootnoteText"/>
      </w:pPr>
      <w:r>
        <w:rPr>
          <w:rStyle w:val="FootnoteReference"/>
        </w:rPr>
        <w:footnoteRef/>
      </w:r>
      <w:r>
        <w:t xml:space="preserve"> Id. at 206. [ID_STALE: the id. chain to the original full citation was interrupted by footnote 18, which cites a different source.]</w:t>
      </w:r>
    </w:p>
  </w:footnote>
  <w:footnote w:id="21">
    <w:p>
      <w:pPr>
        <w:pStyle w:val="FootnoteText"/>
      </w:pPr>
      <w:r>
        <w:rPr>
          <w:rStyle w:val="FootnoteReference"/>
        </w:rPr>
        <w:footnoteRef/>
      </w:r>
      <w:r>
        <w:t xml:space="preserve"> Cf. Smith, supra note 2, at 1212. [CF_NO_PAREN: Bluebook Rule 1.2 requires an explanatory parenthetical following a cf. signal.]</w:t>
      </w:r>
    </w:p>
  </w:footnote>
  <w:footnote w:id="22">
    <w:p>
      <w:pPr>
        <w:pStyle w:val="FootnoteText"/>
      </w:pPr>
      <w:r>
        <w:rPr>
          <w:rStyle w:val="FootnoteReference"/>
        </w:rPr>
        <w:footnoteRef/>
      </w:r>
      <w:r>
        <w:t xml:space="preserve"> But cf. Jones, supra note 6, at 208. [BUT_CF_NO_PAREN: Bluebook Rule 1.2 requires an explanatory parenthetical following a but cf. signal.]</w:t>
      </w:r>
    </w:p>
  </w:footnote>
  <w:footnote w:id="23">
    <w:p>
      <w:pPr>
        <w:pStyle w:val="FootnoteText"/>
      </w:pPr>
      <w:r>
        <w:rPr>
          <w:rStyle w:val="FootnoteReference"/>
        </w:rPr>
        <w:footnoteRef/>
      </w:r>
      <w:r>
        <w:t xml:space="preserve"> Compare Smith, supra note 2, at 1215, with Jones, supra note 6, at 210. [COMPARE_WITH_NO_PAREN: Bluebook Rule 1.2 requires explanatory parentheticals with both the compare and with sources.]</w:t>
      </w:r>
    </w:p>
  </w:footnote>
  <w:footnote w:id="24">
    <w:p>
      <w:pPr>
        <w:pStyle w:val="FootnoteText"/>
      </w:pPr>
      <w:r>
        <w:rPr>
          <w:rStyle w:val="FootnoteReference"/>
        </w:rPr>
        <w:footnoteRef/>
      </w:r>
      <w:r>
        <w:t xml:space="preserve"> See generally Brown, supra note 7, at 505. [SEE_GEN_NO_PAREN: Bluebook Rule 1.2 requires an explanatory parenthetical following a see generally signal.]</w:t>
      </w:r>
    </w:p>
  </w:footnote>
  <w:footnote w:id="25">
    <w:p>
      <w:pPr>
        <w:pStyle w:val="FootnoteText"/>
      </w:pPr>
      <w:r>
        <w:rPr>
          <w:rStyle w:val="FootnoteReference"/>
        </w:rPr>
        <w:footnoteRef/>
      </w:r>
      <w:r>
        <w:t xml:space="preserve"> The court observed that "citation compliance is a foundational requirement of legal scholarship." Smith, supra note 2. [QUOTE_NO_PINCITE: a direct quotation requires a pincite identifying the specific page from which it is drawn.]</w:t>
      </w:r>
    </w:p>
  </w:footnote>
  <w:footnote w:id="26">
    <w:p>
      <w:pPr>
        <w:pStyle w:val="FootnoteText"/>
      </w:pPr>
      <w:r>
        <w:rPr>
          <w:rStyle w:val="FootnoteReference"/>
        </w:rPr>
        <w:footnoteRef/>
      </w:r>
      <w:r>
        <w:t xml:space="preserve"> Smith, supra note 2, at 1200-1215. [PINCITE_HYPHEN: Bluebook Rule 3.2(a) requires an en dash, not a hyphen, in pincite page ranges.]</w:t>
      </w:r>
    </w:p>
  </w:footnote>
  <w:footnote w:id="27">
    <w:p>
      <w:pPr>
        <w:pStyle w:val="FootnoteText"/>
      </w:pPr>
      <w:r>
        <w:rPr>
          <w:rStyle w:val="FootnoteReference"/>
        </w:rPr>
        <w:footnoteRef/>
      </w:r>
      <w:r>
        <w:t xml:space="preserve"> See Jones, supra note 6, at 201-205. [PINCITE_UNSHORTENED: Bluebook Rule 3.2(a) requires that repeated digits be omitted in page ranges, yielding 201-05 rather than 201-205.]</w:t>
      </w:r>
    </w:p>
  </w:footnote>
  <w:footnote w:id="28">
    <w:p>
      <w:pPr>
        <w:pStyle w:val="FootnoteText"/>
      </w:pPr>
      <w:r>
        <w:rPr>
          <w:rStyle w:val="FootnoteReference"/>
        </w:rPr>
        <w:footnoteRef/>
      </w:r>
      <w:r>
        <w:t xml:space="preserve"> See Wilson, supra note 16, at 810 [FOOTNOTE_NO_PERIOD: every footnote must end with a period under standard law review citation practice]</w:t>
      </w:r>
    </w:p>
  </w:footnote>
  <w:footnote w:id="29">
    <w:p>
      <w:pPr>
        <w:pStyle w:val="FootnoteText"/>
      </w:pPr>
      <w:r>
        <w:rPr>
          <w:rStyle w:val="FootnoteReference"/>
        </w:rPr>
        <w:footnoteRef/>
      </w:r>
      <w:r>
        <w:t xml:space="preserve"> SupraDrop, lawreview.tools, https://supradrop.lawreview.tools (last visited Apr. 15, 2026). [URL_NOT_ARCHIVED: Bluebook Rule 18.2 requires a permanent archive link (e.g., perma.cc) for every internet citation.]</w:t>
      </w:r>
    </w:p>
  </w:footnote>
  <w:footnote w:id="30">
    <w:p>
      <w:pPr>
        <w:pStyle w:val="FootnoteText"/>
      </w:pPr>
      <w:r>
        <w:rPr>
          <w:rStyle w:val="FootnoteReference"/>
        </w:rPr>
        <w:footnoteRef/>
      </w:r>
      <w:r>
        <w:t xml:space="preserve"> Jane Smith, Bluebook in Practice: A Comprehensive Guide to Legal Citation Form, 115 Harv. L. Rev. 1200 (2022) [hereinafter Smith, Comprehensive Guide]. [HEREINAFTER_NEVER_USED: the hereinafter abbreviation Smith, Comprehensive Guide is defined here but never used in a subsequent supra citation.]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2F98" w:rsidRPr="00CA354F" w:rsidRDefault="00832F98" w:rsidP="00DE478D">
    <w:pPr>
      <w:pStyle w:val="Header"/>
      <w:tabs>
        <w:tab w:val="clear" w:pos="4320"/>
        <w:tab w:val="clear" w:pos="8640"/>
        <w:tab w:val="center" w:pos="3672"/>
        <w:tab w:val="right" w:pos="7344"/>
      </w:tabs>
      <w:ind w:firstLine="0"/>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i/>
      </w:rPr>
      <w:t>SupraDrop Test Fixture</w:t>
    </w:r>
    <w:r>
      <w:rPr>
        <w:rStyle w:val="PageNumber"/>
      </w:rPr>
      <w:tab/>
      <w:t>[</w:t>
    </w:r>
    <w:r>
      <w:rPr>
        <w:rStyle w:val="PageNumber"/>
      </w:rPr>
      <w:fldChar w:fldCharType="begin"/>
    </w:r>
    <w:r>
      <w:rPr>
        <w:rStyle w:val="PageNumber"/>
      </w:rPr>
      <w:instrText xml:space="preserve"> SAVEDATE \@ "yyyy-MM-dd" \* MERGEFORMAT </w:instrText>
    </w:r>
    <w:r>
      <w:rPr>
        <w:rStyle w:val="PageNumber"/>
      </w:rPr>
      <w:fldChar w:fldCharType="separate"/>
    </w:r>
    <w:r w:rsidR="00393FF9">
      <w:rPr>
        <w:rStyle w:val="PageNumber"/>
        <w:noProof/>
      </w:rPr>
      <w:t>2020-01-29</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2F98" w:rsidRPr="00CA354F" w:rsidRDefault="00832F98" w:rsidP="00DE478D">
    <w:pPr>
      <w:pStyle w:val="Header"/>
      <w:tabs>
        <w:tab w:val="clear" w:pos="4320"/>
        <w:tab w:val="clear" w:pos="8640"/>
        <w:tab w:val="center" w:pos="3672"/>
        <w:tab w:val="right" w:pos="7344"/>
      </w:tabs>
      <w:ind w:firstLine="0"/>
    </w:pPr>
    <w:r>
      <w:fldChar w:fldCharType="begin"/>
    </w:r>
    <w:r>
      <w:instrText xml:space="preserve"> SAVEDATE \@ "yyyy-MM-dd" \* MERGEFORMAT </w:instrText>
    </w:r>
    <w:r>
      <w:fldChar w:fldCharType="separate"/>
    </w:r>
    <w:r w:rsidR="00393FF9">
      <w:rPr>
        <w:noProof/>
      </w:rPr>
      <w:t>2020-01-29</w:t>
    </w:r>
    <w:r>
      <w:fldChar w:fldCharType="end"/>
    </w:r>
    <w:r>
      <w:t>]</w:t>
    </w:r>
    <w:r>
      <w:tab/>
    </w:r>
    <w:r>
      <w:rPr>
        <w:i/>
      </w:rPr>
      <w:t>Kirin Chang</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50362"/>
    <w:multiLevelType w:val="multilevel"/>
    <w:tmpl w:val="EA7ADFE0"/>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360"/>
        </w:tabs>
        <w:ind w:left="360" w:hanging="360"/>
      </w:pPr>
      <w:rPr>
        <w:rFonts w:hint="default"/>
      </w:rPr>
    </w:lvl>
    <w:lvl w:ilvl="4">
      <w:start w:val="1"/>
      <w:numFmt w:val="lowerRoman"/>
      <w:lvlText w:val="%5."/>
      <w:lvlJc w:val="left"/>
      <w:pPr>
        <w:tabs>
          <w:tab w:val="num" w:pos="360"/>
        </w:tabs>
        <w:ind w:left="360" w:hanging="36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13EF6F26"/>
    <w:multiLevelType w:val="multilevel"/>
    <w:tmpl w:val="0CEC1A62"/>
    <w:lvl w:ilvl="0">
      <w:start w:val="1"/>
      <w:numFmt w:val="none"/>
      <w:lvlText w:val=""/>
      <w:lvlJc w:val="left"/>
      <w:pPr>
        <w:tabs>
          <w:tab w:val="num" w:pos="0"/>
        </w:tabs>
        <w:ind w:left="0" w:firstLine="0"/>
      </w:pPr>
      <w:rPr>
        <w:rFonts w:hint="default"/>
      </w:rPr>
    </w:lvl>
    <w:lvl w:ilvl="1">
      <w:start w:val="1"/>
      <w:numFmt w:val="upperLetter"/>
      <w:suff w:val="nothing"/>
      <w:lvlText w:val="%2.  "/>
      <w:lvlJc w:val="left"/>
      <w:pPr>
        <w:ind w:left="360" w:hanging="360"/>
      </w:pPr>
      <w:rPr>
        <w:rFonts w:hint="default"/>
      </w:rPr>
    </w:lvl>
    <w:lvl w:ilvl="2">
      <w:start w:val="1"/>
      <w:numFmt w:val="decimal"/>
      <w:lvlText w:val="%3."/>
      <w:lvlJc w:val="left"/>
      <w:pPr>
        <w:tabs>
          <w:tab w:val="num" w:pos="360"/>
        </w:tabs>
        <w:ind w:left="360" w:hanging="360"/>
      </w:pPr>
      <w:rPr>
        <w:rFonts w:hint="default"/>
      </w:rPr>
    </w:lvl>
    <w:lvl w:ilvl="3">
      <w:start w:val="1"/>
      <w:numFmt w:val="lowerLetter"/>
      <w:lvlText w:val="%4."/>
      <w:lvlJc w:val="left"/>
      <w:pPr>
        <w:tabs>
          <w:tab w:val="num" w:pos="360"/>
        </w:tabs>
        <w:ind w:left="360" w:hanging="360"/>
      </w:pPr>
      <w:rPr>
        <w:rFonts w:hint="default"/>
      </w:rPr>
    </w:lvl>
    <w:lvl w:ilvl="4">
      <w:start w:val="1"/>
      <w:numFmt w:val="lowerRoman"/>
      <w:lvlText w:val="%5."/>
      <w:lvlJc w:val="left"/>
      <w:pPr>
        <w:tabs>
          <w:tab w:val="num" w:pos="360"/>
        </w:tabs>
        <w:ind w:left="360" w:hanging="36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29E56211"/>
    <w:multiLevelType w:val="multilevel"/>
    <w:tmpl w:val="3418D20E"/>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lowerRoman"/>
      <w:lvlText w:val="%5."/>
      <w:lvlJc w:val="left"/>
      <w:pPr>
        <w:tabs>
          <w:tab w:val="num" w:pos="360"/>
        </w:tabs>
        <w:ind w:left="360" w:hanging="36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3BB5C42"/>
    <w:multiLevelType w:val="multilevel"/>
    <w:tmpl w:val="F97E0FBC"/>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360"/>
        </w:tabs>
        <w:ind w:left="360" w:hanging="360"/>
      </w:pPr>
      <w:rPr>
        <w:rFonts w:hint="default"/>
      </w:rPr>
    </w:lvl>
    <w:lvl w:ilvl="3">
      <w:start w:val="1"/>
      <w:numFmt w:val="lowerLetter"/>
      <w:lvlText w:val="%4."/>
      <w:lvlJc w:val="left"/>
      <w:pPr>
        <w:tabs>
          <w:tab w:val="num" w:pos="360"/>
        </w:tabs>
        <w:ind w:left="360" w:hanging="360"/>
      </w:pPr>
      <w:rPr>
        <w:rFonts w:hint="default"/>
      </w:rPr>
    </w:lvl>
    <w:lvl w:ilvl="4">
      <w:start w:val="1"/>
      <w:numFmt w:val="lowerRoman"/>
      <w:lvlText w:val="%5."/>
      <w:lvlJc w:val="left"/>
      <w:pPr>
        <w:tabs>
          <w:tab w:val="num" w:pos="360"/>
        </w:tabs>
        <w:ind w:left="360" w:hanging="36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42BE438F"/>
    <w:multiLevelType w:val="multilevel"/>
    <w:tmpl w:val="AC18C264"/>
    <w:lvl w:ilvl="0">
      <w:start w:val="1"/>
      <w:numFmt w:val="none"/>
      <w:pStyle w:val="Heading1"/>
      <w:lvlText w:val=""/>
      <w:lvlJc w:val="left"/>
      <w:pPr>
        <w:tabs>
          <w:tab w:val="num" w:pos="0"/>
        </w:tabs>
        <w:ind w:left="0" w:firstLine="0"/>
      </w:pPr>
      <w:rPr>
        <w:rFonts w:hint="default"/>
      </w:rPr>
    </w:lvl>
    <w:lvl w:ilvl="1">
      <w:start w:val="1"/>
      <w:numFmt w:val="upperLetter"/>
      <w:pStyle w:val="Heading2"/>
      <w:suff w:val="nothing"/>
      <w:lvlText w:val="%2.  "/>
      <w:lvlJc w:val="left"/>
      <w:pPr>
        <w:ind w:left="360" w:hanging="36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lowerLetter"/>
      <w:pStyle w:val="Heading4"/>
      <w:lvlText w:val="%4."/>
      <w:lvlJc w:val="left"/>
      <w:pPr>
        <w:tabs>
          <w:tab w:val="num" w:pos="360"/>
        </w:tabs>
        <w:ind w:left="360" w:hanging="360"/>
      </w:pPr>
      <w:rPr>
        <w:rFonts w:hint="default"/>
      </w:rPr>
    </w:lvl>
    <w:lvl w:ilvl="4">
      <w:start w:val="1"/>
      <w:numFmt w:val="lowerRoman"/>
      <w:pStyle w:val="Heading5"/>
      <w:lvlText w:val="%5."/>
      <w:lvlJc w:val="left"/>
      <w:pPr>
        <w:tabs>
          <w:tab w:val="num" w:pos="360"/>
        </w:tabs>
        <w:ind w:left="360" w:hanging="36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5" w15:restartNumberingAfterBreak="0">
    <w:nsid w:val="432F1EEC"/>
    <w:multiLevelType w:val="hybridMultilevel"/>
    <w:tmpl w:val="4A6EC842"/>
    <w:lvl w:ilvl="0" w:tplc="16AABAC6">
      <w:start w:val="1"/>
      <w:numFmt w:val="decimal"/>
      <w:lvlRestart w:val="0"/>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A8E1E7B"/>
    <w:multiLevelType w:val="multilevel"/>
    <w:tmpl w:val="0CEC1A62"/>
    <w:lvl w:ilvl="0">
      <w:start w:val="1"/>
      <w:numFmt w:val="none"/>
      <w:lvlText w:val=""/>
      <w:lvlJc w:val="left"/>
      <w:pPr>
        <w:tabs>
          <w:tab w:val="num" w:pos="0"/>
        </w:tabs>
        <w:ind w:left="0" w:firstLine="0"/>
      </w:pPr>
      <w:rPr>
        <w:rFonts w:hint="default"/>
      </w:rPr>
    </w:lvl>
    <w:lvl w:ilvl="1">
      <w:start w:val="1"/>
      <w:numFmt w:val="upperLetter"/>
      <w:suff w:val="nothing"/>
      <w:lvlText w:val="%2.  "/>
      <w:lvlJc w:val="left"/>
      <w:pPr>
        <w:ind w:left="360" w:hanging="360"/>
      </w:pPr>
      <w:rPr>
        <w:rFonts w:hint="default"/>
      </w:rPr>
    </w:lvl>
    <w:lvl w:ilvl="2">
      <w:start w:val="1"/>
      <w:numFmt w:val="decimal"/>
      <w:lvlText w:val="%3."/>
      <w:lvlJc w:val="left"/>
      <w:pPr>
        <w:tabs>
          <w:tab w:val="num" w:pos="360"/>
        </w:tabs>
        <w:ind w:left="360" w:hanging="360"/>
      </w:pPr>
      <w:rPr>
        <w:rFonts w:hint="default"/>
      </w:rPr>
    </w:lvl>
    <w:lvl w:ilvl="3">
      <w:start w:val="1"/>
      <w:numFmt w:val="lowerLetter"/>
      <w:lvlText w:val="%4."/>
      <w:lvlJc w:val="left"/>
      <w:pPr>
        <w:tabs>
          <w:tab w:val="num" w:pos="360"/>
        </w:tabs>
        <w:ind w:left="360" w:hanging="360"/>
      </w:pPr>
      <w:rPr>
        <w:rFonts w:hint="default"/>
      </w:rPr>
    </w:lvl>
    <w:lvl w:ilvl="4">
      <w:start w:val="1"/>
      <w:numFmt w:val="lowerRoman"/>
      <w:lvlText w:val="%5."/>
      <w:lvlJc w:val="left"/>
      <w:pPr>
        <w:tabs>
          <w:tab w:val="num" w:pos="360"/>
        </w:tabs>
        <w:ind w:left="360" w:hanging="36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7D991F83"/>
    <w:multiLevelType w:val="hybridMultilevel"/>
    <w:tmpl w:val="4AF29CEA"/>
    <w:lvl w:ilvl="0" w:tplc="FFFFFFFF">
      <w:start w:val="1"/>
      <w:numFmt w:val="lowerLetter"/>
      <w:pStyle w:val="LetteredList"/>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7F4438BC"/>
    <w:multiLevelType w:val="multilevel"/>
    <w:tmpl w:val="76AAC862"/>
    <w:lvl w:ilvl="0">
      <w:start w:val="1"/>
      <w:numFmt w:val="none"/>
      <w:suff w:val="nothing"/>
      <w:lvlText w:val="%1"/>
      <w:lvlJc w:val="left"/>
      <w:pPr>
        <w:ind w:left="0" w:firstLine="0"/>
      </w:pPr>
    </w:lvl>
    <w:lvl w:ilvl="1">
      <w:start w:val="1"/>
      <w:numFmt w:val="upperLetter"/>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lowerLetter"/>
      <w:lvlText w:val="%4."/>
      <w:lvlJc w:val="left"/>
      <w:pPr>
        <w:tabs>
          <w:tab w:val="num" w:pos="720"/>
        </w:tabs>
        <w:ind w:left="720" w:hanging="72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abstractNumId w:val="4"/>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8"/>
  </w:num>
  <w:num w:numId="20">
    <w:abstractNumId w:val="2"/>
  </w:num>
  <w:num w:numId="21">
    <w:abstractNumId w:val="0"/>
  </w:num>
  <w:num w:numId="22">
    <w:abstractNumId w:val="3"/>
  </w:num>
  <w:num w:numId="23">
    <w:abstractNumId w:val="6"/>
  </w:num>
  <w:num w:numId="24">
    <w:abstractNumId w:val="1"/>
  </w:num>
  <w:num w:numId="25">
    <w:abstractNumId w:val="5"/>
  </w:num>
  <w:num w:numId="26">
    <w:abstractNumId w:val="7"/>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692"/>
    <w:rsid w:val="0000433A"/>
    <w:rsid w:val="00017D0A"/>
    <w:rsid w:val="00021E50"/>
    <w:rsid w:val="000D0CDB"/>
    <w:rsid w:val="00112A83"/>
    <w:rsid w:val="00196DA7"/>
    <w:rsid w:val="002318B9"/>
    <w:rsid w:val="00233466"/>
    <w:rsid w:val="002A53F4"/>
    <w:rsid w:val="002A62CB"/>
    <w:rsid w:val="002C2FE9"/>
    <w:rsid w:val="002F1D10"/>
    <w:rsid w:val="002F3569"/>
    <w:rsid w:val="00302954"/>
    <w:rsid w:val="0034749A"/>
    <w:rsid w:val="00384F28"/>
    <w:rsid w:val="00393FF9"/>
    <w:rsid w:val="00395CB5"/>
    <w:rsid w:val="00471E15"/>
    <w:rsid w:val="004809BB"/>
    <w:rsid w:val="004842C5"/>
    <w:rsid w:val="004A72E9"/>
    <w:rsid w:val="004D7242"/>
    <w:rsid w:val="004E4818"/>
    <w:rsid w:val="0059363F"/>
    <w:rsid w:val="005C7763"/>
    <w:rsid w:val="005F320D"/>
    <w:rsid w:val="00602E34"/>
    <w:rsid w:val="00614CB4"/>
    <w:rsid w:val="00647253"/>
    <w:rsid w:val="006747DC"/>
    <w:rsid w:val="00680B1A"/>
    <w:rsid w:val="00684675"/>
    <w:rsid w:val="00690FAA"/>
    <w:rsid w:val="006A4DBC"/>
    <w:rsid w:val="006A6934"/>
    <w:rsid w:val="006B0FC7"/>
    <w:rsid w:val="006E4965"/>
    <w:rsid w:val="006E7B9A"/>
    <w:rsid w:val="00707318"/>
    <w:rsid w:val="00721661"/>
    <w:rsid w:val="007228FC"/>
    <w:rsid w:val="007245A6"/>
    <w:rsid w:val="0074773D"/>
    <w:rsid w:val="007D006A"/>
    <w:rsid w:val="00812919"/>
    <w:rsid w:val="00817055"/>
    <w:rsid w:val="0082190C"/>
    <w:rsid w:val="00832F98"/>
    <w:rsid w:val="0085616B"/>
    <w:rsid w:val="00870B12"/>
    <w:rsid w:val="00883D69"/>
    <w:rsid w:val="008F6540"/>
    <w:rsid w:val="00903BFC"/>
    <w:rsid w:val="00923A40"/>
    <w:rsid w:val="009375D6"/>
    <w:rsid w:val="00941AD6"/>
    <w:rsid w:val="0099112C"/>
    <w:rsid w:val="009D39D2"/>
    <w:rsid w:val="009E1615"/>
    <w:rsid w:val="00A77C2A"/>
    <w:rsid w:val="00AA2981"/>
    <w:rsid w:val="00AF31DA"/>
    <w:rsid w:val="00BA345B"/>
    <w:rsid w:val="00BE7BCC"/>
    <w:rsid w:val="00C333B9"/>
    <w:rsid w:val="00C54837"/>
    <w:rsid w:val="00C81746"/>
    <w:rsid w:val="00C84702"/>
    <w:rsid w:val="00C857EF"/>
    <w:rsid w:val="00C87624"/>
    <w:rsid w:val="00CA354F"/>
    <w:rsid w:val="00D238E5"/>
    <w:rsid w:val="00D30954"/>
    <w:rsid w:val="00D45A54"/>
    <w:rsid w:val="00DE1A9D"/>
    <w:rsid w:val="00DE262F"/>
    <w:rsid w:val="00DE429E"/>
    <w:rsid w:val="00DE478D"/>
    <w:rsid w:val="00DF09CD"/>
    <w:rsid w:val="00E2511C"/>
    <w:rsid w:val="00E57BC7"/>
    <w:rsid w:val="00E67E67"/>
    <w:rsid w:val="00F30692"/>
    <w:rsid w:val="00F47D20"/>
    <w:rsid w:val="00F84B86"/>
    <w:rsid w:val="00FA45DD"/>
    <w:rsid w:val="00FD464E"/>
    <w:rsid w:val="00FE0065"/>
    <w:rsid w:val="00FF7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0FAA"/>
    <w:pPr>
      <w:widowControl w:val="0"/>
      <w:spacing w:before="20"/>
      <w:ind w:firstLine="360"/>
      <w:jc w:val="both"/>
    </w:pPr>
    <w:rPr>
      <w:sz w:val="24"/>
    </w:rPr>
  </w:style>
  <w:style w:type="paragraph" w:styleId="Heading1">
    <w:name w:val="heading 1"/>
    <w:basedOn w:val="Normal"/>
    <w:next w:val="Normal"/>
    <w:qFormat/>
    <w:rsid w:val="00832F98"/>
    <w:pPr>
      <w:keepNext/>
      <w:widowControl/>
      <w:numPr>
        <w:numId w:val="34"/>
      </w:numPr>
      <w:spacing w:before="240" w:after="120"/>
      <w:jc w:val="center"/>
      <w:outlineLvl w:val="0"/>
    </w:pPr>
    <w:rPr>
      <w:smallCaps/>
      <w:kern w:val="28"/>
    </w:rPr>
  </w:style>
  <w:style w:type="paragraph" w:styleId="Heading2">
    <w:name w:val="heading 2"/>
    <w:basedOn w:val="Normal"/>
    <w:next w:val="Normal"/>
    <w:qFormat/>
    <w:rsid w:val="00832F98"/>
    <w:pPr>
      <w:keepNext/>
      <w:widowControl/>
      <w:numPr>
        <w:ilvl w:val="1"/>
        <w:numId w:val="34"/>
      </w:numPr>
      <w:spacing w:before="240" w:after="120"/>
      <w:jc w:val="center"/>
      <w:outlineLvl w:val="1"/>
    </w:pPr>
    <w:rPr>
      <w:i/>
    </w:rPr>
  </w:style>
  <w:style w:type="paragraph" w:styleId="Heading3">
    <w:name w:val="heading 3"/>
    <w:basedOn w:val="Normal"/>
    <w:next w:val="Normal"/>
    <w:qFormat/>
    <w:rsid w:val="00832F98"/>
    <w:pPr>
      <w:keepNext/>
      <w:widowControl/>
      <w:numPr>
        <w:ilvl w:val="2"/>
        <w:numId w:val="34"/>
      </w:numPr>
      <w:spacing w:before="240" w:after="120"/>
      <w:outlineLvl w:val="2"/>
    </w:pPr>
  </w:style>
  <w:style w:type="paragraph" w:styleId="Heading4">
    <w:name w:val="heading 4"/>
    <w:basedOn w:val="Normal"/>
    <w:next w:val="Normal"/>
    <w:qFormat/>
    <w:rsid w:val="00690FAA"/>
    <w:pPr>
      <w:keepNext/>
      <w:widowControl/>
      <w:numPr>
        <w:ilvl w:val="3"/>
        <w:numId w:val="34"/>
      </w:numPr>
      <w:spacing w:before="240" w:after="120"/>
      <w:outlineLvl w:val="3"/>
    </w:pPr>
  </w:style>
  <w:style w:type="paragraph" w:styleId="Heading5">
    <w:name w:val="heading 5"/>
    <w:next w:val="Normal"/>
    <w:qFormat/>
    <w:rsid w:val="00923A40"/>
    <w:pPr>
      <w:numPr>
        <w:ilvl w:val="4"/>
        <w:numId w:val="34"/>
      </w:numPr>
      <w:spacing w:before="120" w:after="120"/>
      <w:outlineLvl w:val="4"/>
    </w:pPr>
    <w:rPr>
      <w:sz w:val="24"/>
    </w:rPr>
  </w:style>
  <w:style w:type="paragraph" w:styleId="Heading6">
    <w:name w:val="heading 6"/>
    <w:basedOn w:val="Normal"/>
    <w:next w:val="Normal"/>
    <w:qFormat/>
    <w:rsid w:val="00923A40"/>
    <w:pPr>
      <w:numPr>
        <w:ilvl w:val="5"/>
        <w:numId w:val="34"/>
      </w:numPr>
      <w:spacing w:before="240" w:after="60"/>
      <w:outlineLvl w:val="5"/>
    </w:pPr>
    <w:rPr>
      <w:i/>
      <w:sz w:val="22"/>
    </w:rPr>
  </w:style>
  <w:style w:type="paragraph" w:styleId="Heading7">
    <w:name w:val="heading 7"/>
    <w:basedOn w:val="Normal"/>
    <w:next w:val="Normal"/>
    <w:qFormat/>
    <w:rsid w:val="00923A40"/>
    <w:pPr>
      <w:numPr>
        <w:ilvl w:val="6"/>
        <w:numId w:val="34"/>
      </w:numPr>
      <w:spacing w:before="240" w:after="60"/>
      <w:outlineLvl w:val="6"/>
    </w:pPr>
    <w:rPr>
      <w:rFonts w:ascii="Arial" w:hAnsi="Arial"/>
      <w:sz w:val="20"/>
    </w:rPr>
  </w:style>
  <w:style w:type="paragraph" w:styleId="Heading8">
    <w:name w:val="heading 8"/>
    <w:basedOn w:val="Normal"/>
    <w:next w:val="Normal"/>
    <w:qFormat/>
    <w:rsid w:val="00923A40"/>
    <w:pPr>
      <w:numPr>
        <w:ilvl w:val="7"/>
        <w:numId w:val="34"/>
      </w:numPr>
      <w:spacing w:before="240" w:after="60"/>
      <w:outlineLvl w:val="7"/>
    </w:pPr>
    <w:rPr>
      <w:rFonts w:ascii="Arial" w:hAnsi="Arial"/>
      <w:i/>
      <w:sz w:val="20"/>
    </w:rPr>
  </w:style>
  <w:style w:type="paragraph" w:styleId="Heading9">
    <w:name w:val="heading 9"/>
    <w:basedOn w:val="Normal"/>
    <w:next w:val="Normal"/>
    <w:qFormat/>
    <w:rsid w:val="00923A40"/>
    <w:pPr>
      <w:numPr>
        <w:ilvl w:val="8"/>
        <w:numId w:val="34"/>
      </w:numPr>
      <w:spacing w:before="240" w:after="6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DocumentMap">
    <w:name w:val="Document Map"/>
    <w:basedOn w:val="Normal"/>
    <w:semiHidden/>
    <w:pPr>
      <w:shd w:val="clear" w:color="auto" w:fill="000080"/>
    </w:pPr>
    <w:rPr>
      <w:rFonts w:ascii="Tahoma" w:hAnsi="Tahoma"/>
    </w:rPr>
  </w:style>
  <w:style w:type="character" w:styleId="EndnoteReference">
    <w:name w:val="endnote reference"/>
    <w:semiHidden/>
    <w:rPr>
      <w:vertAlign w:val="superscript"/>
    </w:rPr>
  </w:style>
  <w:style w:type="paragraph" w:styleId="EndnoteText">
    <w:name w:val="endnote text"/>
    <w:basedOn w:val="Normal"/>
    <w:semiHidden/>
    <w:rPr>
      <w:sz w:val="20"/>
    </w:rPr>
  </w:style>
  <w:style w:type="paragraph" w:styleId="Footer">
    <w:name w:val="footer"/>
    <w:basedOn w:val="Normal"/>
    <w:pPr>
      <w:tabs>
        <w:tab w:val="center" w:pos="4320"/>
        <w:tab w:val="right" w:pos="8640"/>
      </w:tabs>
    </w:pPr>
  </w:style>
  <w:style w:type="paragraph" w:customStyle="1" w:styleId="Footnote">
    <w:name w:val="Footnote"/>
    <w:rsid w:val="00471E15"/>
    <w:pPr>
      <w:widowControl w:val="0"/>
      <w:tabs>
        <w:tab w:val="left" w:pos="-720"/>
      </w:tabs>
      <w:suppressAutoHyphens/>
      <w:spacing w:line="200" w:lineRule="exact"/>
    </w:pPr>
    <w:rPr>
      <w:rFonts w:ascii="CG Times" w:hAnsi="CG Times"/>
      <w:kern w:val="2"/>
    </w:rPr>
  </w:style>
  <w:style w:type="character" w:styleId="FootnoteReference">
    <w:name w:val="footnote reference"/>
    <w:semiHidden/>
    <w:rPr>
      <w:vertAlign w:val="superscript"/>
    </w:rPr>
  </w:style>
  <w:style w:type="paragraph" w:styleId="FootnoteText">
    <w:name w:val="footnote text"/>
    <w:basedOn w:val="Normal"/>
    <w:semiHidden/>
    <w:rsid w:val="00832F98"/>
    <w:rPr>
      <w:sz w:val="22"/>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customStyle="1" w:styleId="Level1">
    <w:name w:val="Level 1"/>
    <w:basedOn w:val="Normal"/>
    <w:pPr>
      <w:ind w:left="720" w:hanging="720"/>
    </w:pPr>
  </w:style>
  <w:style w:type="character" w:styleId="PageNumber">
    <w:name w:val="page number"/>
    <w:basedOn w:val="DefaultParagraphFont"/>
  </w:style>
  <w:style w:type="paragraph" w:customStyle="1" w:styleId="LetteredList">
    <w:name w:val="Lettered List"/>
    <w:basedOn w:val="Normal"/>
    <w:rsid w:val="00017D0A"/>
    <w:pPr>
      <w:numPr>
        <w:numId w:val="26"/>
      </w:numPr>
    </w:pPr>
  </w:style>
  <w:style w:type="paragraph" w:styleId="TOC1">
    <w:name w:val="toc 1"/>
    <w:basedOn w:val="Normal"/>
    <w:next w:val="Normal"/>
    <w:autoRedefine/>
    <w:uiPriority w:val="39"/>
    <w:rsid w:val="00647253"/>
    <w:pPr>
      <w:tabs>
        <w:tab w:val="right" w:leader="dot" w:pos="7200"/>
      </w:tabs>
      <w:ind w:left="432" w:hanging="432"/>
    </w:pPr>
  </w:style>
  <w:style w:type="paragraph" w:styleId="TOC2">
    <w:name w:val="toc 2"/>
    <w:basedOn w:val="Normal"/>
    <w:next w:val="Normal"/>
    <w:autoRedefine/>
    <w:uiPriority w:val="39"/>
    <w:rsid w:val="00647253"/>
    <w:pPr>
      <w:tabs>
        <w:tab w:val="left" w:pos="864"/>
        <w:tab w:val="right" w:leader="dot" w:pos="7200"/>
      </w:tabs>
      <w:ind w:left="864" w:hanging="432"/>
    </w:pPr>
    <w:rPr>
      <w:noProof/>
    </w:rPr>
  </w:style>
  <w:style w:type="paragraph" w:styleId="TOC3">
    <w:name w:val="toc 3"/>
    <w:basedOn w:val="Normal"/>
    <w:next w:val="Normal"/>
    <w:autoRedefine/>
    <w:uiPriority w:val="39"/>
    <w:rsid w:val="00647253"/>
    <w:pPr>
      <w:tabs>
        <w:tab w:val="left" w:pos="1296"/>
        <w:tab w:val="right" w:leader="dot" w:pos="7200"/>
      </w:tabs>
      <w:ind w:left="1296" w:hanging="432"/>
    </w:pPr>
  </w:style>
  <w:style w:type="paragraph" w:styleId="TOC4">
    <w:name w:val="toc 4"/>
    <w:basedOn w:val="Normal"/>
    <w:next w:val="Normal"/>
    <w:autoRedefine/>
    <w:semiHidden/>
    <w:pPr>
      <w:tabs>
        <w:tab w:val="left" w:pos="1296"/>
        <w:tab w:val="left" w:pos="1728"/>
        <w:tab w:val="left" w:leader="dot" w:pos="7776"/>
      </w:tabs>
      <w:ind w:left="1728" w:hanging="432"/>
    </w:pPr>
  </w:style>
  <w:style w:type="paragraph" w:styleId="TOC5">
    <w:name w:val="toc 5"/>
    <w:basedOn w:val="Normal"/>
    <w:next w:val="Normal"/>
    <w:autoRedefine/>
    <w:semiHidden/>
    <w:pPr>
      <w:ind w:left="1040"/>
    </w:pPr>
  </w:style>
  <w:style w:type="paragraph" w:styleId="TOC6">
    <w:name w:val="toc 6"/>
    <w:basedOn w:val="Normal"/>
    <w:next w:val="Normal"/>
    <w:autoRedefine/>
    <w:semiHidden/>
    <w:pPr>
      <w:ind w:left="1300"/>
    </w:pPr>
  </w:style>
  <w:style w:type="paragraph" w:styleId="TOC7">
    <w:name w:val="toc 7"/>
    <w:basedOn w:val="Normal"/>
    <w:next w:val="Normal"/>
    <w:autoRedefine/>
    <w:semiHidden/>
    <w:pPr>
      <w:ind w:left="1560"/>
    </w:pPr>
  </w:style>
  <w:style w:type="paragraph" w:styleId="TOC8">
    <w:name w:val="toc 8"/>
    <w:basedOn w:val="Normal"/>
    <w:next w:val="Normal"/>
    <w:autoRedefine/>
    <w:semiHidden/>
    <w:pPr>
      <w:ind w:left="1820"/>
    </w:pPr>
  </w:style>
  <w:style w:type="paragraph" w:styleId="TOC9">
    <w:name w:val="toc 9"/>
    <w:basedOn w:val="Normal"/>
    <w:next w:val="Normal"/>
    <w:autoRedefine/>
    <w:semiHidden/>
    <w:pPr>
      <w:ind w:left="2080"/>
    </w:pPr>
  </w:style>
  <w:style w:type="paragraph" w:customStyle="1" w:styleId="BlockQuote">
    <w:name w:val="Block Quote"/>
    <w:basedOn w:val="Normal"/>
    <w:qFormat/>
    <w:rsid w:val="00690FAA"/>
    <w:pPr>
      <w:spacing w:before="120" w:after="100"/>
      <w:ind w:left="720" w:right="720" w:firstLine="0"/>
    </w:pPr>
    <w:rPr>
      <w:szCs w:val="19"/>
    </w:rPr>
  </w:style>
  <w:style w:type="paragraph" w:customStyle="1" w:styleId="Epigraph">
    <w:name w:val="Epigraph"/>
    <w:basedOn w:val="Normal"/>
    <w:rsid w:val="00471E15"/>
    <w:pPr>
      <w:ind w:left="3600" w:firstLine="0"/>
      <w:jc w:val="right"/>
    </w:pPr>
    <w:rPr>
      <w:sz w:val="21"/>
      <w:szCs w:val="21"/>
    </w:rPr>
  </w:style>
  <w:style w:type="paragraph" w:customStyle="1" w:styleId="ArticleTitle">
    <w:name w:val="Article Title"/>
    <w:basedOn w:val="Normal"/>
    <w:rsid w:val="00721661"/>
    <w:pPr>
      <w:ind w:firstLine="0"/>
      <w:jc w:val="center"/>
    </w:pPr>
    <w:rPr>
      <w:caps/>
      <w:sz w:val="32"/>
    </w:rPr>
  </w:style>
  <w:style w:type="paragraph" w:customStyle="1" w:styleId="YourName">
    <w:name w:val="Your Name"/>
    <w:basedOn w:val="Normal"/>
    <w:rsid w:val="00DE262F"/>
    <w:pPr>
      <w:ind w:firstLine="0"/>
      <w:jc w:val="center"/>
    </w:pPr>
    <w:rPr>
      <w:iCs/>
      <w:sz w:val="28"/>
    </w:rPr>
  </w:style>
  <w:style w:type="paragraph" w:customStyle="1" w:styleId="BlockQuoteinFootnote">
    <w:name w:val="Block Quote in Footnote"/>
    <w:basedOn w:val="FootnoteText"/>
    <w:rsid w:val="00870B12"/>
    <w:pPr>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article_with_abstract_and_table_of_contents_template.dotx</Template>
  <TotalTime>0</TotalTime>
  <Pages>4</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UCLA School of Law</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E Johnson</dc:creator>
  <cp:keywords/>
  <dc:description/>
  <cp:lastModifiedBy>Johnson, Eric E.</cp:lastModifiedBy>
  <cp:revision>2</cp:revision>
  <cp:lastPrinted>2020-01-29T18:29:00Z</cp:lastPrinted>
  <dcterms:created xsi:type="dcterms:W3CDTF">2020-01-29T19:05:00Z</dcterms:created>
  <dcterms:modified xsi:type="dcterms:W3CDTF">2020-01-29T19:05:00Z</dcterms:modified>
</cp:coreProperties>
</file>