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otnotes.xml" ContentType="application/vnd.openxmlformats-officedocument.wordprocessingml.footnot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w:body>
    <w:p>
      <w:r>
        <w:t xml:space="preserve">SupraDrop Test Fixture — 29 footnotes covering all 15 validation rules.</w:t>
      </w:r>
      <w:r>
        <w:t xml:space="preserve"> fn1</w:t>
      </w:r>
      <w:r>
        <w:rPr>
          <w:vertAlign w:val="superscript"/>
        </w:rPr>
        <w:footnoteReference w:id="2"/>
      </w:r>
      <w:r>
        <w:t xml:space="preserve"> fn2</w:t>
      </w:r>
      <w:r>
        <w:rPr>
          <w:vertAlign w:val="superscript"/>
        </w:rPr>
        <w:footnoteReference w:id="3"/>
      </w:r>
      <w:r>
        <w:t xml:space="preserve"> fn3</w:t>
      </w:r>
      <w:r>
        <w:rPr>
          <w:vertAlign w:val="superscript"/>
        </w:rPr>
        <w:footnoteReference w:id="4"/>
      </w:r>
      <w:r>
        <w:t xml:space="preserve"> fn4</w:t>
      </w:r>
      <w:r>
        <w:rPr>
          <w:vertAlign w:val="superscript"/>
        </w:rPr>
        <w:footnoteReference w:id="5"/>
      </w:r>
      <w:r>
        <w:t xml:space="preserve"> fn5</w:t>
      </w:r>
      <w:r>
        <w:rPr>
          <w:vertAlign w:val="superscript"/>
        </w:rPr>
        <w:footnoteReference w:id="6"/>
      </w:r>
      <w:r>
        <w:t xml:space="preserve"> fn6</w:t>
      </w:r>
      <w:r>
        <w:rPr>
          <w:vertAlign w:val="superscript"/>
        </w:rPr>
        <w:footnoteReference w:id="7"/>
      </w:r>
      <w:r>
        <w:t xml:space="preserve"> fn7</w:t>
      </w:r>
      <w:r>
        <w:rPr>
          <w:vertAlign w:val="superscript"/>
        </w:rPr>
        <w:footnoteReference w:id="8"/>
      </w:r>
      <w:r>
        <w:t xml:space="preserve"> fn8</w:t>
      </w:r>
      <w:r>
        <w:rPr>
          <w:vertAlign w:val="superscript"/>
        </w:rPr>
        <w:footnoteReference w:id="9"/>
      </w:r>
      <w:r>
        <w:t xml:space="preserve"> fn9</w:t>
      </w:r>
      <w:r>
        <w:rPr>
          <w:vertAlign w:val="superscript"/>
        </w:rPr>
        <w:footnoteReference w:id="10"/>
      </w:r>
      <w:r>
        <w:t xml:space="preserve"> fn10</w:t>
      </w:r>
      <w:r>
        <w:rPr>
          <w:vertAlign w:val="superscript"/>
        </w:rPr>
        <w:footnoteReference w:id="11"/>
      </w:r>
      <w:r>
        <w:t xml:space="preserve"> fn11</w:t>
      </w:r>
      <w:r>
        <w:rPr>
          <w:vertAlign w:val="superscript"/>
        </w:rPr>
        <w:footnoteReference w:id="12"/>
      </w:r>
      <w:r>
        <w:t xml:space="preserve"> fn12</w:t>
      </w:r>
      <w:r>
        <w:rPr>
          <w:vertAlign w:val="superscript"/>
        </w:rPr>
        <w:footnoteReference w:id="13"/>
      </w:r>
      <w:r>
        <w:t xml:space="preserve"> fn13</w:t>
      </w:r>
      <w:r>
        <w:rPr>
          <w:vertAlign w:val="superscript"/>
        </w:rPr>
        <w:footnoteReference w:id="14"/>
      </w:r>
      <w:r>
        <w:t xml:space="preserve"> fn14</w:t>
      </w:r>
      <w:r>
        <w:rPr>
          <w:vertAlign w:val="superscript"/>
        </w:rPr>
        <w:footnoteReference w:id="15"/>
      </w:r>
      <w:r>
        <w:t xml:space="preserve"> fn15</w:t>
      </w:r>
      <w:r>
        <w:rPr>
          <w:vertAlign w:val="superscript"/>
        </w:rPr>
        <w:footnoteReference w:id="16"/>
      </w:r>
      <w:r>
        <w:t xml:space="preserve"> fn16</w:t>
      </w:r>
      <w:r>
        <w:rPr>
          <w:vertAlign w:val="superscript"/>
        </w:rPr>
        <w:footnoteReference w:id="17"/>
      </w:r>
      <w:r>
        <w:t xml:space="preserve"> fn17</w:t>
      </w:r>
      <w:r>
        <w:rPr>
          <w:vertAlign w:val="superscript"/>
        </w:rPr>
        <w:footnoteReference w:id="18"/>
      </w:r>
      <w:r>
        <w:t xml:space="preserve"> fn18</w:t>
      </w:r>
      <w:r>
        <w:rPr>
          <w:vertAlign w:val="superscript"/>
        </w:rPr>
        <w:footnoteReference w:id="19"/>
      </w:r>
      <w:r>
        <w:t xml:space="preserve"> fn19</w:t>
      </w:r>
      <w:r>
        <w:rPr>
          <w:vertAlign w:val="superscript"/>
        </w:rPr>
        <w:footnoteReference w:id="20"/>
      </w:r>
      <w:r>
        <w:t xml:space="preserve"> fn20</w:t>
      </w:r>
      <w:r>
        <w:rPr>
          <w:vertAlign w:val="superscript"/>
        </w:rPr>
        <w:footnoteReference w:id="21"/>
      </w:r>
      <w:r>
        <w:t xml:space="preserve"> fn21</w:t>
      </w:r>
      <w:r>
        <w:rPr>
          <w:vertAlign w:val="superscript"/>
        </w:rPr>
        <w:footnoteReference w:id="22"/>
      </w:r>
      <w:r>
        <w:t xml:space="preserve"> fn22</w:t>
      </w:r>
      <w:r>
        <w:rPr>
          <w:vertAlign w:val="superscript"/>
        </w:rPr>
        <w:footnoteReference w:id="23"/>
      </w:r>
      <w:r>
        <w:t xml:space="preserve"> fn23</w:t>
      </w:r>
      <w:r>
        <w:rPr>
          <w:vertAlign w:val="superscript"/>
        </w:rPr>
        <w:footnoteReference w:id="24"/>
      </w:r>
      <w:r>
        <w:t xml:space="preserve"> fn24</w:t>
      </w:r>
      <w:r>
        <w:rPr>
          <w:vertAlign w:val="superscript"/>
        </w:rPr>
        <w:footnoteReference w:id="25"/>
      </w:r>
      <w:r>
        <w:t xml:space="preserve"> fn25</w:t>
      </w:r>
      <w:r>
        <w:rPr>
          <w:vertAlign w:val="superscript"/>
        </w:rPr>
        <w:footnoteReference w:id="26"/>
      </w:r>
      <w:r>
        <w:t xml:space="preserve"> fn26</w:t>
      </w:r>
      <w:r>
        <w:rPr>
          <w:vertAlign w:val="superscript"/>
        </w:rPr>
        <w:footnoteReference w:id="27"/>
      </w:r>
      <w:r>
        <w:t xml:space="preserve"> fn27</w:t>
      </w:r>
      <w:r>
        <w:rPr>
          <w:vertAlign w:val="superscript"/>
        </w:rPr>
        <w:footnoteReference w:id="28"/>
      </w:r>
      <w:r>
        <w:t xml:space="preserve"> fn28</w:t>
      </w:r>
      <w:r>
        <w:rPr>
          <w:vertAlign w:val="superscript"/>
        </w:rPr>
        <w:footnoteReference w:id="29"/>
      </w:r>
      <w:r>
        <w:t xml:space="preserve"> fn29</w:t>
      </w:r>
      <w:r>
        <w:rPr>
          <w:vertAlign w:val="superscript"/>
        </w:rPr>
        <w:footnoteReference w:id="30"/>
      </w:r>
    </w:p>
    <w:sectPr/>
  </w:body>
</w:document>
</file>

<file path=word/footnotes.xml><?xml version="1.0" encoding="utf-8"?>
<w:footnotes xmlns:w="http://schemas.openxmlformats.org/wordprocessingml/2006/main">
  <w:footnote w:type="separator" w:id="-1">
    <w:p>
      <w:r>
        <w:separator/>
      </w:r>
    </w:p>
  </w:footnote>
  <w:footnote w:type="continuationSeparator" w:id="0">
    <w:p>
      <w:r>
        <w:continuationSeparator/>
      </w:r>
    </w:p>
  </w:footnote>
  <w:footnote w:type="continuationNotice" w:id="1">
    <w:p>
      <w:r>
        <w:t>Continued on next page</w:t>
      </w:r>
    </w:p>
  </w:footnote>
  <w:footnote w:id="2">
    <w:p>
      <w:r>
        <w:rPr>
          <w:vertAlign w:val="superscript"/>
        </w:rPr>
        <w:footnoteRef/>
      </w:r>
      <w:r>
        <w:t xml:space="preserve">Id. at 14.</w:t>
      </w:r>
    </w:p>
  </w:footnote>
  <w:footnote w:id="3">
    <w:p>
      <w:r>
        <w:rPr>
          <w:vertAlign w:val="superscript"/>
        </w:rPr>
        <w:footnoteRef/>
      </w:r>
      <w:r>
        <w:t xml:space="preserve">Jane Smith, The Future of Privacy Law, 120 Harv. L. Rev. 100 (2007).</w:t>
      </w:r>
    </w:p>
  </w:footnote>
  <w:footnote w:id="4">
    <w:p>
      <w:r>
        <w:rPr>
          <w:vertAlign w:val="superscript"/>
        </w:rPr>
        <w:footnoteRef/>
      </w:r>
      <w:r>
        <w:t xml:space="preserve">Id. at 102.</w:t>
      </w:r>
    </w:p>
  </w:footnote>
  <w:footnote w:id="5">
    <w:p>
      <w:r>
        <w:rPr>
          <w:vertAlign w:val="superscript"/>
        </w:rPr>
        <w:footnoteRef/>
      </w:r>
      <w:r>
        <w:t xml:space="preserve">Id. at 103.</w:t>
      </w:r>
    </w:p>
  </w:footnote>
  <w:footnote w:id="6">
    <w:p>
      <w:r>
        <w:rPr>
          <w:vertAlign w:val="superscript"/>
        </w:rPr>
        <w:footnoteRef/>
      </w:r>
      <w:r>
        <w:t xml:space="preserve">Id. at 104.</w:t>
      </w:r>
    </w:p>
  </w:footnote>
  <w:footnote w:id="7">
    <w:p>
      <w:r>
        <w:rPr>
          <w:vertAlign w:val="superscript"/>
        </w:rPr>
        <w:footnoteRef/>
      </w:r>
      <w:r>
        <w:t xml:space="preserve">Id. at 105.</w:t>
      </w:r>
    </w:p>
  </w:footnote>
  <w:footnote w:id="8">
    <w:p>
      <w:r>
        <w:rPr>
          <w:vertAlign w:val="superscript"/>
        </w:rPr>
        <w:footnoteRef/>
      </w:r>
      <w:r>
        <w:t xml:space="preserve">Id. at 106.</w:t>
      </w:r>
    </w:p>
  </w:footnote>
  <w:footnote w:id="9">
    <w:p>
      <w:r>
        <w:rPr>
          <w:vertAlign w:val="superscript"/>
        </w:rPr>
        <w:footnoteRef/>
      </w:r>
      <w:r>
        <w:t xml:space="preserve">Id. at 107.</w:t>
      </w:r>
    </w:p>
  </w:footnote>
  <w:footnote w:id="10">
    <w:p>
      <w:r>
        <w:rPr>
          <w:vertAlign w:val="superscript"/>
        </w:rPr>
        <w:footnoteRef/>
      </w:r>
      <w:r>
        <w:t xml:space="preserve">Bartnicki v. Vopper, 532 U.S. 514, 514 (2001).</w:t>
      </w:r>
    </w:p>
  </w:footnote>
  <w:footnote w:id="11">
    <w:p>
      <w:r>
        <w:rPr>
          <w:vertAlign w:val="superscript"/>
        </w:rPr>
        <w:footnoteRef/>
      </w:r>
      <w:r>
        <w:t xml:space="preserve">Id. at 518.</w:t>
      </w:r>
    </w:p>
  </w:footnote>
  <w:footnote w:id="12">
    <w:p>
      <w:r>
        <w:rPr>
          <w:vertAlign w:val="superscript"/>
        </w:rPr>
        <w:footnoteRef/>
      </w:r>
      <w:r>
        <w:t xml:space="preserve">See generally John Doe, Surveillance and Society 50 (2010) (arguing that surveillance law requires fundamental reform).</w:t>
      </w:r>
    </w:p>
  </w:footnote>
  <w:footnote w:id="13">
    <w:p>
      <w:r>
        <w:rPr>
          <w:vertAlign w:val="superscript"/>
        </w:rPr>
        <w:footnoteRef/>
      </w:r>
      <w:r>
        <w:t xml:space="preserve">Robert Jones, Surveillance Law Revisited, 85 N.Y.U. L. Rev. 200 (2010) [hereinafter Privacy Revisited].</w:t>
      </w:r>
    </w:p>
  </w:footnote>
  <w:footnote w:id="14">
    <w:p>
      <w:r>
        <w:rPr>
          <w:vertAlign w:val="superscript"/>
        </w:rPr>
        <w:footnoteRef/>
      </w:r>
      <w:r>
        <w:t xml:space="preserve">The Court held that ‘the right to privacy cannot be abridged without compelling justification.’ Bartnicki v. Vopper, 532 U.S. 514, 516 (2001).</w:t>
      </w:r>
    </w:p>
  </w:footnote>
  <w:footnote w:id="15">
    <w:p>
      <w:r>
        <w:rPr>
          <w:vertAlign w:val="superscript"/>
        </w:rPr>
        <w:footnoteRef/>
      </w:r>
      <w:r>
        <w:t xml:space="preserve">See Smith, supra note 2, at 106.</w:t>
      </w:r>
    </w:p>
  </w:footnote>
  <w:footnote w:id="16">
    <w:p>
      <w:r>
        <w:rPr>
          <w:vertAlign w:val="superscript"/>
        </w:rPr>
        <w:footnoteRef/>
      </w:r>
      <w:r>
        <w:t xml:space="preserve">Cf. Robert Jones, Surveillance Law Revisited, 85 N.Y.U. L. Rev. 200 (2010).</w:t>
      </w:r>
    </w:p>
  </w:footnote>
  <w:footnote w:id="17">
    <w:p>
      <w:r>
        <w:rPr>
          <w:vertAlign w:val="superscript"/>
        </w:rPr>
        <w:footnoteRef/>
      </w:r>
      <w:r>
        <w:t xml:space="preserve">But cf. Smith, supra note 2, at 108.</w:t>
      </w:r>
    </w:p>
  </w:footnote>
  <w:footnote w:id="18">
    <w:p>
      <w:r>
        <w:rPr>
          <w:vertAlign w:val="superscript"/>
        </w:rPr>
        <w:footnoteRef/>
      </w:r>
      <w:r>
        <w:t xml:space="preserve">Compare Bartnicki v. Vopper, 532 U.S. 514, 520 (2001), with Katz v. United States, 389 U.S. 347, 352 (1967).</w:t>
      </w:r>
    </w:p>
  </w:footnote>
  <w:footnote w:id="19">
    <w:p>
      <w:r>
        <w:rPr>
          <w:vertAlign w:val="superscript"/>
        </w:rPr>
        <w:footnoteRef/>
      </w:r>
      <w:r>
        <w:t xml:space="preserve">Compare Bartnicki v. Vopper, 532 U.S. 514, 520 (2001) (holding that wiretapping statute applies to media), with Katz v. United States, 389 U.S. 347, 352 (1967) (establishing the reasonable expectation of privacy test).</w:t>
      </w:r>
    </w:p>
  </w:footnote>
  <w:footnote w:id="20">
    <w:p>
      <w:r>
        <w:rPr>
          <w:vertAlign w:val="superscript"/>
        </w:rPr>
        <w:footnoteRef/>
      </w:r>
      <w:r>
        <w:t xml:space="preserve">See Bartnicki, supra note 9.</w:t>
      </w:r>
    </w:p>
  </w:footnote>
  <w:footnote w:id="21">
    <w:p>
      <w:r>
        <w:rPr>
          <w:vertAlign w:val="superscript"/>
        </w:rPr>
        <w:footnoteRef/>
      </w:r>
      <w:r>
        <w:t xml:space="preserve">"Privacy is a fundamental human right and cornerstone of democratic society." Smith v. Maryland, 442 U.S. 735 (1979).</w:t>
      </w:r>
    </w:p>
  </w:footnote>
  <w:footnote w:id="22">
    <w:p>
      <w:r>
        <w:rPr>
          <w:vertAlign w:val="superscript"/>
        </w:rPr>
        <w:footnoteRef/>
      </w:r>
      <w:r>
        <w:t xml:space="preserve">See generally John Doe, Surveillance and Society 50 (2010).</w:t>
      </w:r>
    </w:p>
  </w:footnote>
  <w:footnote w:id="23">
    <w:p>
      <w:r>
        <w:rPr>
          <w:vertAlign w:val="superscript"/>
        </w:rPr>
        <w:footnoteRef/>
      </w:r>
      <w:r>
        <w:t xml:space="preserve">Bartnicki v. Vopper, 532 U.S. 514 (2001); Katz v. United States, 389 U.S. 347 (1967).</w:t>
      </w:r>
    </w:p>
  </w:footnote>
  <w:footnote w:id="24">
    <w:p>
      <w:r>
        <w:rPr>
          <w:vertAlign w:val="superscript"/>
        </w:rPr>
        <w:footnoteRef/>
      </w:r>
      <w:r>
        <w:t xml:space="preserve">Id. at 352.</w:t>
      </w:r>
    </w:p>
  </w:footnote>
  <w:footnote w:id="25">
    <w:p>
      <w:r>
        <w:rPr>
          <w:vertAlign w:val="superscript"/>
        </w:rPr>
        <w:footnoteRef/>
      </w:r>
      <w:r>
        <w:t xml:space="preserve">See Smith, supra note 2.</w:t>
      </w:r>
    </w:p>
  </w:footnote>
  <w:footnote w:id="26">
    <w:p>
      <w:r>
        <w:rPr>
          <w:vertAlign w:val="superscript"/>
        </w:rPr>
        <w:footnoteRef/>
      </w:r>
      <w:r>
        <w:t xml:space="preserve">See supra note 3.</w:t>
      </w:r>
    </w:p>
  </w:footnote>
  <w:footnote w:id="27">
    <w:p>
      <w:r>
        <w:rPr>
          <w:vertAlign w:val="superscript"/>
        </w:rPr>
        <w:footnoteRef/>
      </w:r>
      <w:r>
        <w:t xml:space="preserve">See Smith, supra note 99.</w:t>
      </w:r>
    </w:p>
  </w:footnote>
  <w:footnote w:id="28">
    <w:p>
      <w:r>
        <w:rPr>
          <w:vertAlign w:val="superscript"/>
        </w:rPr>
        <w:footnoteRef/>
      </w:r>
      <w:r>
        <w:t xml:space="preserve">See Jones, supra note 28.</w:t>
      </w:r>
    </w:p>
  </w:footnote>
  <w:footnote w:id="29">
    <w:p>
      <w:r>
        <w:rPr>
          <w:vertAlign w:val="superscript"/>
        </w:rPr>
        <w:footnoteRef/>
      </w:r>
      <w:r>
        <w:t xml:space="preserve">Katz v. United States, 389 U.S. 347, 360 (1967).</w:t>
      </w:r>
    </w:p>
  </w:footnote>
  <w:footnote w:id="30">
    <w:p>
      <w:r>
        <w:rPr>
          <w:vertAlign w:val="superscript"/>
        </w:rPr>
        <w:footnoteRef/>
      </w:r>
      <w:r>
        <w:t xml:space="preserve">For a general overview of this area of law, see Bartnicki v. Vopper, 532 U.S. 514 (2001)</w:t>
      </w:r>
    </w:p>
  </w:footnote>
</w:footnotes>
</file>

<file path=word/_rels/document.xml.rels><?xml version="1.0" encoding="UTF-8" standalone="yes"?>
<Relationships xmlns="http://schemas.openxmlformats.org/package/2006/relationships">
  <Relationship Id="rId1" Type="http://schemas.openxmlformats.org/officeDocument/2006/relationships/footnotes" Target="footnotes.xml"/>
</Relationships>
</file>