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5A" w:rsidRPr="00046A53" w:rsidRDefault="0000415A" w:rsidP="00046A53">
      <w:pPr>
        <w:spacing w:line="240" w:lineRule="auto"/>
        <w:jc w:val="center"/>
        <w:rPr>
          <w:b/>
          <w:bCs/>
          <w:sz w:val="28"/>
          <w:szCs w:val="28"/>
        </w:rPr>
      </w:pPr>
      <w:r w:rsidRPr="00046A53">
        <w:rPr>
          <w:b/>
          <w:bCs/>
          <w:sz w:val="28"/>
          <w:szCs w:val="28"/>
        </w:rPr>
        <w:t>Minimum-Required Information for Association Data</w:t>
      </w:r>
    </w:p>
    <w:p w:rsidR="0000415A" w:rsidRPr="00046A53" w:rsidRDefault="0000415A" w:rsidP="00046A53">
      <w:pPr>
        <w:spacing w:line="240" w:lineRule="auto"/>
        <w:rPr>
          <w:sz w:val="24"/>
          <w:szCs w:val="24"/>
        </w:rPr>
      </w:pPr>
      <w:r w:rsidRPr="00046A53">
        <w:rPr>
          <w:sz w:val="24"/>
          <w:szCs w:val="24"/>
        </w:rPr>
        <w:t>Association analyses vary on trait, variant type, frequency</w:t>
      </w:r>
      <w:r w:rsidR="00695A4B">
        <w:rPr>
          <w:sz w:val="24"/>
          <w:szCs w:val="24"/>
        </w:rPr>
        <w:t>,</w:t>
      </w:r>
      <w:r w:rsidRPr="00046A53">
        <w:rPr>
          <w:sz w:val="24"/>
          <w:szCs w:val="24"/>
        </w:rPr>
        <w:t xml:space="preserve"> and analytic method. To facilitate the data sharing, we propose a unified guideline for Minimum Information Required for Association Data (MIRAD). It includes </w:t>
      </w:r>
      <w:r w:rsidR="00911503">
        <w:rPr>
          <w:sz w:val="24"/>
          <w:szCs w:val="24"/>
        </w:rPr>
        <w:t>four</w:t>
      </w:r>
      <w:r w:rsidRPr="00046A53">
        <w:rPr>
          <w:sz w:val="24"/>
          <w:szCs w:val="24"/>
        </w:rPr>
        <w:t xml:space="preserve"> essential parts of data elements.</w:t>
      </w:r>
    </w:p>
    <w:p w:rsidR="0000415A" w:rsidRPr="00046A53" w:rsidRDefault="0000415A" w:rsidP="003130A5">
      <w:pPr>
        <w:spacing w:after="0" w:line="240" w:lineRule="auto"/>
        <w:rPr>
          <w:sz w:val="24"/>
          <w:szCs w:val="24"/>
        </w:rPr>
      </w:pPr>
      <w:r w:rsidRPr="00046A53">
        <w:rPr>
          <w:b/>
          <w:bCs/>
          <w:sz w:val="24"/>
          <w:szCs w:val="24"/>
        </w:rPr>
        <w:t>1. Locus Identifier</w:t>
      </w:r>
    </w:p>
    <w:p w:rsidR="0000415A" w:rsidRDefault="0000415A" w:rsidP="003130A5">
      <w:pPr>
        <w:spacing w:after="0" w:line="240" w:lineRule="auto"/>
        <w:rPr>
          <w:sz w:val="24"/>
          <w:szCs w:val="24"/>
        </w:rPr>
      </w:pPr>
      <w:r w:rsidRPr="00046A53">
        <w:rPr>
          <w:sz w:val="24"/>
          <w:szCs w:val="24"/>
        </w:rPr>
        <w:t xml:space="preserve">The identifier includes (not limited) </w:t>
      </w:r>
      <w:proofErr w:type="spellStart"/>
      <w:r w:rsidRPr="00046A53">
        <w:rPr>
          <w:sz w:val="24"/>
          <w:szCs w:val="24"/>
        </w:rPr>
        <w:t>rs</w:t>
      </w:r>
      <w:proofErr w:type="spellEnd"/>
      <w:r w:rsidRPr="00046A53">
        <w:rPr>
          <w:sz w:val="24"/>
          <w:szCs w:val="24"/>
        </w:rPr>
        <w:t>#, gene ID and SV# for SNP, gene</w:t>
      </w:r>
      <w:r w:rsidR="00695A4B">
        <w:rPr>
          <w:sz w:val="24"/>
          <w:szCs w:val="24"/>
        </w:rPr>
        <w:t>,</w:t>
      </w:r>
      <w:r w:rsidRPr="00046A53">
        <w:rPr>
          <w:sz w:val="24"/>
          <w:szCs w:val="24"/>
        </w:rPr>
        <w:t xml:space="preserve"> and structural variant respectively. They can be mapped to current genome build and also evolved with future reference genome assemblies and NCBI annotations.</w:t>
      </w:r>
    </w:p>
    <w:p w:rsidR="00BF50D5" w:rsidRPr="00046A53" w:rsidRDefault="00BF50D5" w:rsidP="003130A5">
      <w:pPr>
        <w:spacing w:after="0" w:line="240" w:lineRule="auto"/>
        <w:rPr>
          <w:sz w:val="24"/>
          <w:szCs w:val="24"/>
        </w:rPr>
      </w:pPr>
    </w:p>
    <w:p w:rsidR="0000415A" w:rsidRPr="00046A53" w:rsidRDefault="0000415A" w:rsidP="003130A5">
      <w:pPr>
        <w:spacing w:after="0" w:line="240" w:lineRule="auto"/>
        <w:rPr>
          <w:sz w:val="24"/>
          <w:szCs w:val="24"/>
        </w:rPr>
      </w:pPr>
      <w:r w:rsidRPr="00046A53">
        <w:rPr>
          <w:b/>
          <w:bCs/>
          <w:sz w:val="24"/>
          <w:szCs w:val="24"/>
        </w:rPr>
        <w:t>2. Variation summary</w:t>
      </w:r>
    </w:p>
    <w:p w:rsidR="0000415A" w:rsidRPr="00046A53" w:rsidRDefault="0000415A" w:rsidP="00046A53">
      <w:pPr>
        <w:spacing w:line="240" w:lineRule="auto"/>
        <w:rPr>
          <w:sz w:val="24"/>
          <w:szCs w:val="24"/>
        </w:rPr>
      </w:pPr>
      <w:r w:rsidRPr="00046A53">
        <w:rPr>
          <w:sz w:val="24"/>
          <w:szCs w:val="24"/>
        </w:rPr>
        <w:t>It contains information about alleles, allele frequencies, sample size</w:t>
      </w:r>
      <w:r w:rsidR="00695A4B">
        <w:rPr>
          <w:sz w:val="24"/>
          <w:szCs w:val="24"/>
        </w:rPr>
        <w:t>,</w:t>
      </w:r>
      <w:r w:rsidRPr="00046A53">
        <w:rPr>
          <w:sz w:val="24"/>
          <w:szCs w:val="24"/>
        </w:rPr>
        <w:t xml:space="preserve"> and genotype counts per sample group within each locus. To limit the ability of unauthorized parties to infer individual participants, data like counts and frequency are only accessible to authorized researchers.</w:t>
      </w:r>
    </w:p>
    <w:p w:rsidR="0000415A" w:rsidRPr="00046A53" w:rsidRDefault="0000415A" w:rsidP="003130A5">
      <w:pPr>
        <w:spacing w:after="0" w:line="240" w:lineRule="auto"/>
        <w:rPr>
          <w:sz w:val="24"/>
          <w:szCs w:val="24"/>
        </w:rPr>
      </w:pPr>
      <w:r w:rsidRPr="00046A53">
        <w:rPr>
          <w:b/>
          <w:bCs/>
          <w:sz w:val="24"/>
          <w:szCs w:val="24"/>
        </w:rPr>
        <w:t xml:space="preserve">3. Statistical significance and Effect size  </w:t>
      </w:r>
    </w:p>
    <w:p w:rsidR="0000415A" w:rsidRPr="00046A53" w:rsidRDefault="0000415A" w:rsidP="00046A53">
      <w:pPr>
        <w:spacing w:line="240" w:lineRule="auto"/>
        <w:rPr>
          <w:sz w:val="24"/>
          <w:szCs w:val="24"/>
        </w:rPr>
      </w:pPr>
      <w:proofErr w:type="gramStart"/>
      <w:r w:rsidRPr="00046A53">
        <w:rPr>
          <w:sz w:val="24"/>
          <w:szCs w:val="24"/>
        </w:rPr>
        <w:t>p-value</w:t>
      </w:r>
      <w:proofErr w:type="gramEnd"/>
      <w:r w:rsidRPr="00046A53">
        <w:rPr>
          <w:sz w:val="24"/>
          <w:szCs w:val="24"/>
        </w:rPr>
        <w:t xml:space="preserve"> and/or FDR, which come either from univariate test on common variants (</w:t>
      </w:r>
      <w:r w:rsidR="003B421A" w:rsidRPr="00046A53">
        <w:rPr>
          <w:sz w:val="24"/>
          <w:szCs w:val="24"/>
        </w:rPr>
        <w:t>printed on</w:t>
      </w:r>
      <w:r w:rsidRPr="00046A53">
        <w:rPr>
          <w:sz w:val="24"/>
          <w:szCs w:val="24"/>
        </w:rPr>
        <w:t xml:space="preserve"> chips) or from group-based multivariate test on a set of rare variants provided by sequencing projects. The effect size includes odds ra</w:t>
      </w:r>
      <w:r w:rsidR="003B421A" w:rsidRPr="00046A53">
        <w:rPr>
          <w:sz w:val="24"/>
          <w:szCs w:val="24"/>
        </w:rPr>
        <w:t>tio, regression coefficient, relative risk</w:t>
      </w:r>
      <w:r w:rsidR="00290F93">
        <w:rPr>
          <w:sz w:val="24"/>
          <w:szCs w:val="24"/>
        </w:rPr>
        <w:t>, etc.</w:t>
      </w:r>
      <w:bookmarkStart w:id="0" w:name="_GoBack"/>
      <w:bookmarkEnd w:id="0"/>
      <w:r w:rsidR="003B421A" w:rsidRPr="00046A53">
        <w:rPr>
          <w:sz w:val="24"/>
          <w:szCs w:val="24"/>
        </w:rPr>
        <w:t>, on particular allele (s). These data</w:t>
      </w:r>
      <w:r w:rsidRPr="00046A53">
        <w:rPr>
          <w:sz w:val="24"/>
          <w:szCs w:val="24"/>
        </w:rPr>
        <w:t xml:space="preserve"> </w:t>
      </w:r>
      <w:r w:rsidR="003B421A" w:rsidRPr="00046A53">
        <w:rPr>
          <w:sz w:val="24"/>
          <w:szCs w:val="24"/>
        </w:rPr>
        <w:t xml:space="preserve">not only help users to find causal variant and haplotype, </w:t>
      </w:r>
      <w:r w:rsidR="00695A4B">
        <w:rPr>
          <w:sz w:val="24"/>
          <w:szCs w:val="24"/>
        </w:rPr>
        <w:t>but</w:t>
      </w:r>
      <w:r w:rsidR="00695A4B" w:rsidRPr="00046A53">
        <w:rPr>
          <w:sz w:val="24"/>
          <w:szCs w:val="24"/>
        </w:rPr>
        <w:t xml:space="preserve"> </w:t>
      </w:r>
      <w:r w:rsidR="003B421A" w:rsidRPr="00046A53">
        <w:rPr>
          <w:sz w:val="24"/>
          <w:szCs w:val="24"/>
        </w:rPr>
        <w:t xml:space="preserve">also </w:t>
      </w:r>
      <w:r w:rsidRPr="00046A53">
        <w:rPr>
          <w:sz w:val="24"/>
          <w:szCs w:val="24"/>
        </w:rPr>
        <w:t xml:space="preserve">can be used to estimate locus contribution to </w:t>
      </w:r>
      <w:r w:rsidR="00290F93">
        <w:rPr>
          <w:sz w:val="24"/>
          <w:szCs w:val="24"/>
        </w:rPr>
        <w:t xml:space="preserve">the </w:t>
      </w:r>
      <w:r w:rsidRPr="00046A53">
        <w:rPr>
          <w:sz w:val="24"/>
          <w:szCs w:val="24"/>
        </w:rPr>
        <w:t>heredity of the trait or disease.</w:t>
      </w:r>
    </w:p>
    <w:p w:rsidR="0000415A" w:rsidRPr="00046A53" w:rsidRDefault="0000415A" w:rsidP="003130A5">
      <w:pPr>
        <w:spacing w:after="0" w:line="240" w:lineRule="auto"/>
        <w:rPr>
          <w:sz w:val="24"/>
          <w:szCs w:val="24"/>
        </w:rPr>
      </w:pPr>
      <w:r w:rsidRPr="00046A53">
        <w:rPr>
          <w:b/>
          <w:bCs/>
          <w:sz w:val="24"/>
          <w:szCs w:val="24"/>
        </w:rPr>
        <w:t>4. Phenotype Definition</w:t>
      </w:r>
      <w:r w:rsidR="007C2E23">
        <w:rPr>
          <w:b/>
          <w:bCs/>
          <w:sz w:val="24"/>
          <w:szCs w:val="24"/>
        </w:rPr>
        <w:t xml:space="preserve"> and </w:t>
      </w:r>
      <w:r w:rsidR="007C2E23" w:rsidRPr="00046A53">
        <w:rPr>
          <w:b/>
          <w:bCs/>
          <w:sz w:val="24"/>
          <w:szCs w:val="24"/>
        </w:rPr>
        <w:t>Analysis Metadata</w:t>
      </w:r>
    </w:p>
    <w:p w:rsidR="0000415A" w:rsidRPr="00046A53" w:rsidRDefault="007C2E23" w:rsidP="003130A5">
      <w:pPr>
        <w:rPr>
          <w:sz w:val="24"/>
          <w:szCs w:val="24"/>
        </w:rPr>
      </w:pPr>
      <w:r>
        <w:rPr>
          <w:sz w:val="24"/>
          <w:szCs w:val="24"/>
        </w:rPr>
        <w:t>T</w:t>
      </w:r>
      <w:r w:rsidR="0000415A" w:rsidRPr="00046A53">
        <w:rPr>
          <w:sz w:val="24"/>
          <w:szCs w:val="24"/>
        </w:rPr>
        <w:t>he main trait or disease analyzed should be defined to a controlled vocabulary such as UMLS, HPO</w:t>
      </w:r>
      <w:r w:rsidR="00290F93">
        <w:rPr>
          <w:sz w:val="24"/>
          <w:szCs w:val="24"/>
        </w:rPr>
        <w:t>,</w:t>
      </w:r>
      <w:r w:rsidR="0000415A" w:rsidRPr="00046A53">
        <w:rPr>
          <w:sz w:val="24"/>
          <w:szCs w:val="24"/>
        </w:rPr>
        <w:t xml:space="preserve"> etc. </w:t>
      </w:r>
      <w:r>
        <w:rPr>
          <w:sz w:val="24"/>
          <w:szCs w:val="24"/>
        </w:rPr>
        <w:t xml:space="preserve"> </w:t>
      </w:r>
      <w:r w:rsidR="0000415A" w:rsidRPr="00046A53">
        <w:rPr>
          <w:sz w:val="24"/>
          <w:szCs w:val="24"/>
        </w:rPr>
        <w:t>Descript</w:t>
      </w:r>
      <w:r w:rsidR="004020AF">
        <w:rPr>
          <w:sz w:val="24"/>
          <w:szCs w:val="24"/>
        </w:rPr>
        <w:t>ions of the analysis and method,</w:t>
      </w:r>
      <w:r w:rsidR="0000415A" w:rsidRPr="00046A53">
        <w:rPr>
          <w:sz w:val="24"/>
          <w:szCs w:val="24"/>
        </w:rPr>
        <w:t xml:space="preserve"> include phenotypic covariates and parameters</w:t>
      </w:r>
      <w:r w:rsidR="004020AF">
        <w:rPr>
          <w:sz w:val="24"/>
          <w:szCs w:val="24"/>
        </w:rPr>
        <w:t>, are</w:t>
      </w:r>
      <w:r w:rsidR="0000415A" w:rsidRPr="00046A53">
        <w:rPr>
          <w:sz w:val="24"/>
          <w:szCs w:val="24"/>
        </w:rPr>
        <w:t xml:space="preserve"> needed for reproducing the result</w:t>
      </w:r>
      <w:r w:rsidR="003130A5">
        <w:rPr>
          <w:sz w:val="24"/>
          <w:szCs w:val="24"/>
        </w:rPr>
        <w:t xml:space="preserve"> </w:t>
      </w:r>
      <w:r w:rsidR="00695A4B">
        <w:rPr>
          <w:sz w:val="24"/>
          <w:szCs w:val="24"/>
        </w:rPr>
        <w:t xml:space="preserve">set </w:t>
      </w:r>
      <w:r w:rsidR="00695A4B" w:rsidRPr="003130A5">
        <w:rPr>
          <w:sz w:val="24"/>
          <w:szCs w:val="24"/>
        </w:rPr>
        <w:t>once the individual data are fully available</w:t>
      </w:r>
      <w:r w:rsidR="00695A4B">
        <w:rPr>
          <w:sz w:val="24"/>
          <w:szCs w:val="24"/>
        </w:rPr>
        <w:t xml:space="preserve">.  </w:t>
      </w:r>
    </w:p>
    <w:p w:rsidR="0000415A" w:rsidRPr="00046A53" w:rsidRDefault="0000415A" w:rsidP="003130A5">
      <w:pPr>
        <w:spacing w:after="0" w:line="240" w:lineRule="auto"/>
        <w:rPr>
          <w:sz w:val="24"/>
          <w:szCs w:val="24"/>
        </w:rPr>
      </w:pPr>
      <w:r w:rsidRPr="00046A53">
        <w:rPr>
          <w:b/>
          <w:bCs/>
          <w:sz w:val="24"/>
          <w:szCs w:val="24"/>
        </w:rPr>
        <w:t>Reasoning</w:t>
      </w:r>
    </w:p>
    <w:p w:rsidR="0000415A" w:rsidRPr="00046A53" w:rsidRDefault="0000415A" w:rsidP="00046A53">
      <w:pPr>
        <w:spacing w:line="240" w:lineRule="auto"/>
        <w:rPr>
          <w:sz w:val="24"/>
          <w:szCs w:val="24"/>
        </w:rPr>
      </w:pPr>
      <w:r w:rsidRPr="00046A53">
        <w:rPr>
          <w:sz w:val="24"/>
          <w:szCs w:val="24"/>
        </w:rPr>
        <w:t>Shari</w:t>
      </w:r>
      <w:r w:rsidR="00290F93">
        <w:rPr>
          <w:sz w:val="24"/>
          <w:szCs w:val="24"/>
        </w:rPr>
        <w:t>ng of these data elements allow</w:t>
      </w:r>
      <w:r w:rsidRPr="00046A53">
        <w:rPr>
          <w:sz w:val="24"/>
          <w:szCs w:val="24"/>
        </w:rPr>
        <w:t xml:space="preserve"> other researchers to evaluate supporting evidence and independently verify discoveries with different samples and data models. In the event that individual level genotype is inaccessible, people are able to directly use them for meta-analysis </w:t>
      </w:r>
      <w:proofErr w:type="gramStart"/>
      <w:r w:rsidRPr="00046A53">
        <w:rPr>
          <w:sz w:val="24"/>
          <w:szCs w:val="24"/>
        </w:rPr>
        <w:t>to</w:t>
      </w:r>
      <w:proofErr w:type="gramEnd"/>
      <w:r w:rsidRPr="00046A53">
        <w:rPr>
          <w:sz w:val="24"/>
          <w:szCs w:val="24"/>
        </w:rPr>
        <w:t xml:space="preserve"> increase statistical power or for the development of hypotheses.  </w:t>
      </w:r>
    </w:p>
    <w:p w:rsidR="0000415A" w:rsidRPr="00046A53" w:rsidRDefault="0000415A" w:rsidP="003130A5">
      <w:pPr>
        <w:spacing w:after="0" w:line="240" w:lineRule="auto"/>
        <w:rPr>
          <w:sz w:val="24"/>
          <w:szCs w:val="24"/>
        </w:rPr>
      </w:pPr>
      <w:r w:rsidRPr="00046A53">
        <w:rPr>
          <w:b/>
          <w:bCs/>
          <w:sz w:val="24"/>
          <w:szCs w:val="24"/>
        </w:rPr>
        <w:t>Our practice</w:t>
      </w:r>
    </w:p>
    <w:p w:rsidR="00BF50D5" w:rsidRDefault="0000415A" w:rsidP="00046A53">
      <w:pPr>
        <w:spacing w:line="240" w:lineRule="auto"/>
        <w:rPr>
          <w:sz w:val="24"/>
          <w:szCs w:val="24"/>
        </w:rPr>
      </w:pPr>
      <w:r w:rsidRPr="00046A53">
        <w:rPr>
          <w:sz w:val="24"/>
          <w:szCs w:val="24"/>
        </w:rPr>
        <w:t>Using MIRAD, dbGaP has developed several templates for data submission and browser exhibition. You are welcome to join the discussion, make suggestions and comment on the MIRAD proposal. The dbGaP team is committed to bringing new discoveries to public and research communities and are happy to work with researchers to promote data sharing within</w:t>
      </w:r>
      <w:r w:rsidR="00290F93">
        <w:rPr>
          <w:sz w:val="24"/>
          <w:szCs w:val="24"/>
        </w:rPr>
        <w:t xml:space="preserve"> the</w:t>
      </w:r>
      <w:r w:rsidRPr="00046A53">
        <w:rPr>
          <w:sz w:val="24"/>
          <w:szCs w:val="24"/>
        </w:rPr>
        <w:t xml:space="preserve"> scientific community. </w:t>
      </w:r>
    </w:p>
    <w:p w:rsidR="00546A15" w:rsidRDefault="00BF50D5" w:rsidP="00BF50D5">
      <w:pPr>
        <w:spacing w:line="240" w:lineRule="auto"/>
      </w:pPr>
      <w:r w:rsidRPr="00046A53">
        <w:rPr>
          <w:sz w:val="24"/>
          <w:szCs w:val="24"/>
        </w:rPr>
        <w:t xml:space="preserve">If you have any question, or need any help from the service, please contact the dbGaP at:  </w:t>
      </w:r>
      <w:hyperlink r:id="rId7" w:history="1">
        <w:r w:rsidRPr="00E705C5">
          <w:rPr>
            <w:rStyle w:val="Hyperlink"/>
          </w:rPr>
          <w:t>dbgap-help@ncbi.nlm.nih.gov</w:t>
        </w:r>
      </w:hyperlink>
      <w:r>
        <w:t xml:space="preserve"> </w:t>
      </w:r>
    </w:p>
    <w:sectPr w:rsidR="00546A1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6F5" w:rsidRDefault="004146F5" w:rsidP="00695A4B">
      <w:pPr>
        <w:spacing w:after="0" w:line="240" w:lineRule="auto"/>
      </w:pPr>
      <w:r>
        <w:separator/>
      </w:r>
    </w:p>
  </w:endnote>
  <w:endnote w:type="continuationSeparator" w:id="0">
    <w:p w:rsidR="004146F5" w:rsidRDefault="004146F5" w:rsidP="0069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A4B" w:rsidRDefault="00BF50D5">
    <w:pPr>
      <w:pStyle w:val="Header"/>
    </w:pPr>
    <w:r>
      <w:t>Last modified: 11/6/14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6F5" w:rsidRDefault="004146F5" w:rsidP="00695A4B">
      <w:pPr>
        <w:spacing w:after="0" w:line="240" w:lineRule="auto"/>
      </w:pPr>
      <w:r>
        <w:separator/>
      </w:r>
    </w:p>
  </w:footnote>
  <w:footnote w:type="continuationSeparator" w:id="0">
    <w:p w:rsidR="004146F5" w:rsidRDefault="004146F5" w:rsidP="00695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0D5" w:rsidRPr="009C0C24" w:rsidRDefault="00BF50D5" w:rsidP="00BF50D5">
    <w:pPr>
      <w:pStyle w:val="Header"/>
      <w:rPr>
        <w:rFonts w:ascii="Arial" w:hAnsi="Arial" w:cs="Arial"/>
        <w:b/>
        <w:sz w:val="28"/>
        <w:szCs w:val="28"/>
      </w:rPr>
    </w:pPr>
    <w:proofErr w:type="gramStart"/>
    <w:r w:rsidRPr="0013766A">
      <w:rPr>
        <w:rFonts w:ascii="Arial" w:hAnsi="Arial" w:cs="Arial"/>
        <w:b/>
        <w:sz w:val="28"/>
        <w:szCs w:val="28"/>
      </w:rPr>
      <w:t>dbGaP</w:t>
    </w:r>
    <w:proofErr w:type="gramEnd"/>
    <w:r w:rsidRPr="0013766A">
      <w:rPr>
        <w:rFonts w:ascii="Arial" w:hAnsi="Arial" w:cs="Arial"/>
        <w:b/>
        <w:sz w:val="28"/>
        <w:szCs w:val="28"/>
      </w:rPr>
      <w:t xml:space="preserve"> </w:t>
    </w:r>
    <w:r>
      <w:rPr>
        <w:rFonts w:ascii="Arial" w:hAnsi="Arial" w:cs="Arial"/>
        <w:b/>
        <w:sz w:val="28"/>
        <w:szCs w:val="28"/>
      </w:rPr>
      <w:t>Association Analysis</w:t>
    </w:r>
    <w:r w:rsidRPr="0013766A">
      <w:rPr>
        <w:rFonts w:ascii="Arial" w:hAnsi="Arial" w:cs="Arial"/>
        <w:b/>
        <w:sz w:val="28"/>
        <w:szCs w:val="28"/>
      </w:rPr>
      <w:t xml:space="preserve"> Submission Guide</w:t>
    </w:r>
    <w:r>
      <w:rPr>
        <w:rFonts w:ascii="Arial" w:hAnsi="Arial" w:cs="Arial"/>
        <w:b/>
        <w:sz w:val="28"/>
        <w:szCs w:val="28"/>
      </w:rPr>
      <w:tab/>
    </w:r>
    <w:r>
      <w:rPr>
        <w:b/>
        <w:noProof/>
      </w:rPr>
      <w:drawing>
        <wp:inline distT="0" distB="0" distL="0" distR="0" wp14:anchorId="3C0EBAC3" wp14:editId="1C1FA355">
          <wp:extent cx="1800225" cy="695325"/>
          <wp:effectExtent l="19050" t="0" r="9525" b="0"/>
          <wp:docPr id="1" name="Picture 1" descr="genotypes-phenos_re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otypes-phenos_resized"/>
                  <pic:cNvPicPr>
                    <a:picLocks noChangeAspect="1" noChangeArrowheads="1"/>
                  </pic:cNvPicPr>
                </pic:nvPicPr>
                <pic:blipFill>
                  <a:blip r:embed="rId1"/>
                  <a:srcRect/>
                  <a:stretch>
                    <a:fillRect/>
                  </a:stretch>
                </pic:blipFill>
                <pic:spPr bwMode="auto">
                  <a:xfrm>
                    <a:off x="0" y="0"/>
                    <a:ext cx="1800225" cy="695325"/>
                  </a:xfrm>
                  <a:prstGeom prst="rect">
                    <a:avLst/>
                  </a:prstGeom>
                  <a:noFill/>
                  <a:ln w="9525">
                    <a:noFill/>
                    <a:miter lim="800000"/>
                    <a:headEnd/>
                    <a:tailEnd/>
                  </a:ln>
                </pic:spPr>
              </pic:pic>
            </a:graphicData>
          </a:graphic>
        </wp:inline>
      </w:drawing>
    </w:r>
  </w:p>
  <w:p w:rsidR="00695A4B" w:rsidRDefault="00695A4B">
    <w:pPr>
      <w:pStyle w:val="Balloon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E7DCB"/>
    <w:multiLevelType w:val="hybridMultilevel"/>
    <w:tmpl w:val="053E64F6"/>
    <w:lvl w:ilvl="0" w:tplc="4E3002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90FFB"/>
    <w:multiLevelType w:val="hybridMultilevel"/>
    <w:tmpl w:val="61CC67E8"/>
    <w:lvl w:ilvl="0" w:tplc="A4A00C70">
      <w:start w:val="1"/>
      <w:numFmt w:val="decimal"/>
      <w:lvlText w:val="%1."/>
      <w:lvlJc w:val="left"/>
      <w:pPr>
        <w:tabs>
          <w:tab w:val="num" w:pos="720"/>
        </w:tabs>
        <w:ind w:left="720" w:hanging="360"/>
      </w:pPr>
    </w:lvl>
    <w:lvl w:ilvl="1" w:tplc="A23A3E4C" w:tentative="1">
      <w:start w:val="1"/>
      <w:numFmt w:val="decimal"/>
      <w:lvlText w:val="%2."/>
      <w:lvlJc w:val="left"/>
      <w:pPr>
        <w:tabs>
          <w:tab w:val="num" w:pos="1440"/>
        </w:tabs>
        <w:ind w:left="1440" w:hanging="360"/>
      </w:pPr>
    </w:lvl>
    <w:lvl w:ilvl="2" w:tplc="666E1E80" w:tentative="1">
      <w:start w:val="1"/>
      <w:numFmt w:val="decimal"/>
      <w:lvlText w:val="%3."/>
      <w:lvlJc w:val="left"/>
      <w:pPr>
        <w:tabs>
          <w:tab w:val="num" w:pos="2160"/>
        </w:tabs>
        <w:ind w:left="2160" w:hanging="360"/>
      </w:pPr>
    </w:lvl>
    <w:lvl w:ilvl="3" w:tplc="56660B1A" w:tentative="1">
      <w:start w:val="1"/>
      <w:numFmt w:val="decimal"/>
      <w:lvlText w:val="%4."/>
      <w:lvlJc w:val="left"/>
      <w:pPr>
        <w:tabs>
          <w:tab w:val="num" w:pos="2880"/>
        </w:tabs>
        <w:ind w:left="2880" w:hanging="360"/>
      </w:pPr>
    </w:lvl>
    <w:lvl w:ilvl="4" w:tplc="52AA9456" w:tentative="1">
      <w:start w:val="1"/>
      <w:numFmt w:val="decimal"/>
      <w:lvlText w:val="%5."/>
      <w:lvlJc w:val="left"/>
      <w:pPr>
        <w:tabs>
          <w:tab w:val="num" w:pos="3600"/>
        </w:tabs>
        <w:ind w:left="3600" w:hanging="360"/>
      </w:pPr>
    </w:lvl>
    <w:lvl w:ilvl="5" w:tplc="2F449654" w:tentative="1">
      <w:start w:val="1"/>
      <w:numFmt w:val="decimal"/>
      <w:lvlText w:val="%6."/>
      <w:lvlJc w:val="left"/>
      <w:pPr>
        <w:tabs>
          <w:tab w:val="num" w:pos="4320"/>
        </w:tabs>
        <w:ind w:left="4320" w:hanging="360"/>
      </w:pPr>
    </w:lvl>
    <w:lvl w:ilvl="6" w:tplc="88B2B2E6" w:tentative="1">
      <w:start w:val="1"/>
      <w:numFmt w:val="decimal"/>
      <w:lvlText w:val="%7."/>
      <w:lvlJc w:val="left"/>
      <w:pPr>
        <w:tabs>
          <w:tab w:val="num" w:pos="5040"/>
        </w:tabs>
        <w:ind w:left="5040" w:hanging="360"/>
      </w:pPr>
    </w:lvl>
    <w:lvl w:ilvl="7" w:tplc="9BAA3B92" w:tentative="1">
      <w:start w:val="1"/>
      <w:numFmt w:val="decimal"/>
      <w:lvlText w:val="%8."/>
      <w:lvlJc w:val="left"/>
      <w:pPr>
        <w:tabs>
          <w:tab w:val="num" w:pos="5760"/>
        </w:tabs>
        <w:ind w:left="5760" w:hanging="360"/>
      </w:pPr>
    </w:lvl>
    <w:lvl w:ilvl="8" w:tplc="B2DAE350"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5A"/>
    <w:rsid w:val="0000415A"/>
    <w:rsid w:val="00046A53"/>
    <w:rsid w:val="001332E9"/>
    <w:rsid w:val="00290F93"/>
    <w:rsid w:val="003130A5"/>
    <w:rsid w:val="003B421A"/>
    <w:rsid w:val="003F2EBA"/>
    <w:rsid w:val="004020AF"/>
    <w:rsid w:val="004146F5"/>
    <w:rsid w:val="00546A15"/>
    <w:rsid w:val="0060372A"/>
    <w:rsid w:val="00695A4B"/>
    <w:rsid w:val="007C2E23"/>
    <w:rsid w:val="007F16DC"/>
    <w:rsid w:val="00911503"/>
    <w:rsid w:val="00BF50D5"/>
    <w:rsid w:val="00D86191"/>
    <w:rsid w:val="00E67A0F"/>
    <w:rsid w:val="00F6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A7AAF-D10A-4F3E-8579-4A1E42AE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5A"/>
    <w:pPr>
      <w:ind w:left="720"/>
      <w:contextualSpacing/>
    </w:pPr>
  </w:style>
  <w:style w:type="character" w:styleId="Hyperlink">
    <w:name w:val="Hyperlink"/>
    <w:basedOn w:val="DefaultParagraphFont"/>
    <w:uiPriority w:val="99"/>
    <w:unhideWhenUsed/>
    <w:rsid w:val="0000415A"/>
    <w:rPr>
      <w:color w:val="0563C1" w:themeColor="hyperlink"/>
      <w:u w:val="single"/>
    </w:rPr>
  </w:style>
  <w:style w:type="paragraph" w:styleId="BalloonText">
    <w:name w:val="Balloon Text"/>
    <w:basedOn w:val="Normal"/>
    <w:link w:val="BalloonTextChar"/>
    <w:uiPriority w:val="99"/>
    <w:semiHidden/>
    <w:unhideWhenUsed/>
    <w:rsid w:val="00BF5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D5"/>
    <w:rPr>
      <w:rFonts w:ascii="Segoe UI" w:hAnsi="Segoe UI" w:cs="Segoe UI"/>
      <w:sz w:val="18"/>
      <w:szCs w:val="18"/>
    </w:rPr>
  </w:style>
  <w:style w:type="paragraph" w:styleId="Header">
    <w:name w:val="header"/>
    <w:basedOn w:val="Normal"/>
    <w:link w:val="HeaderChar"/>
    <w:uiPriority w:val="99"/>
    <w:unhideWhenUsed/>
    <w:rsid w:val="00BF5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0D5"/>
  </w:style>
  <w:style w:type="paragraph" w:styleId="Footer">
    <w:name w:val="footer"/>
    <w:basedOn w:val="Normal"/>
    <w:link w:val="FooterChar"/>
    <w:uiPriority w:val="99"/>
    <w:unhideWhenUsed/>
    <w:rsid w:val="00BF5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0D5"/>
  </w:style>
  <w:style w:type="character" w:styleId="FollowedHyperlink">
    <w:name w:val="FollowedHyperlink"/>
    <w:basedOn w:val="DefaultParagraphFont"/>
    <w:uiPriority w:val="99"/>
    <w:semiHidden/>
    <w:unhideWhenUsed/>
    <w:rsid w:val="00BF50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084">
      <w:bodyDiv w:val="1"/>
      <w:marLeft w:val="0"/>
      <w:marRight w:val="0"/>
      <w:marTop w:val="0"/>
      <w:marBottom w:val="0"/>
      <w:divBdr>
        <w:top w:val="none" w:sz="0" w:space="0" w:color="auto"/>
        <w:left w:val="none" w:sz="0" w:space="0" w:color="auto"/>
        <w:bottom w:val="none" w:sz="0" w:space="0" w:color="auto"/>
        <w:right w:val="none" w:sz="0" w:space="0" w:color="auto"/>
      </w:divBdr>
      <w:divsChild>
        <w:div w:id="1233928136">
          <w:marLeft w:val="576"/>
          <w:marRight w:val="0"/>
          <w:marTop w:val="0"/>
          <w:marBottom w:val="0"/>
          <w:divBdr>
            <w:top w:val="none" w:sz="0" w:space="0" w:color="auto"/>
            <w:left w:val="none" w:sz="0" w:space="0" w:color="auto"/>
            <w:bottom w:val="none" w:sz="0" w:space="0" w:color="auto"/>
            <w:right w:val="none" w:sz="0" w:space="0" w:color="auto"/>
          </w:divBdr>
        </w:div>
      </w:divsChild>
    </w:div>
    <w:div w:id="635179965">
      <w:bodyDiv w:val="1"/>
      <w:marLeft w:val="0"/>
      <w:marRight w:val="0"/>
      <w:marTop w:val="0"/>
      <w:marBottom w:val="0"/>
      <w:divBdr>
        <w:top w:val="none" w:sz="0" w:space="0" w:color="auto"/>
        <w:left w:val="none" w:sz="0" w:space="0" w:color="auto"/>
        <w:bottom w:val="none" w:sz="0" w:space="0" w:color="auto"/>
        <w:right w:val="none" w:sz="0" w:space="0" w:color="auto"/>
      </w:divBdr>
    </w:div>
    <w:div w:id="859515815">
      <w:bodyDiv w:val="1"/>
      <w:marLeft w:val="0"/>
      <w:marRight w:val="0"/>
      <w:marTop w:val="0"/>
      <w:marBottom w:val="0"/>
      <w:divBdr>
        <w:top w:val="none" w:sz="0" w:space="0" w:color="auto"/>
        <w:left w:val="none" w:sz="0" w:space="0" w:color="auto"/>
        <w:bottom w:val="none" w:sz="0" w:space="0" w:color="auto"/>
        <w:right w:val="none" w:sz="0" w:space="0" w:color="auto"/>
      </w:divBdr>
    </w:div>
    <w:div w:id="1143043247">
      <w:bodyDiv w:val="1"/>
      <w:marLeft w:val="0"/>
      <w:marRight w:val="0"/>
      <w:marTop w:val="0"/>
      <w:marBottom w:val="0"/>
      <w:divBdr>
        <w:top w:val="none" w:sz="0" w:space="0" w:color="auto"/>
        <w:left w:val="none" w:sz="0" w:space="0" w:color="auto"/>
        <w:bottom w:val="none" w:sz="0" w:space="0" w:color="auto"/>
        <w:right w:val="none" w:sz="0" w:space="0" w:color="auto"/>
      </w:divBdr>
    </w:div>
    <w:div w:id="1206329978">
      <w:bodyDiv w:val="1"/>
      <w:marLeft w:val="0"/>
      <w:marRight w:val="0"/>
      <w:marTop w:val="0"/>
      <w:marBottom w:val="0"/>
      <w:divBdr>
        <w:top w:val="none" w:sz="0" w:space="0" w:color="auto"/>
        <w:left w:val="none" w:sz="0" w:space="0" w:color="auto"/>
        <w:bottom w:val="none" w:sz="0" w:space="0" w:color="auto"/>
        <w:right w:val="none" w:sz="0" w:space="0" w:color="auto"/>
      </w:divBdr>
    </w:div>
    <w:div w:id="1329942437">
      <w:bodyDiv w:val="1"/>
      <w:marLeft w:val="0"/>
      <w:marRight w:val="0"/>
      <w:marTop w:val="0"/>
      <w:marBottom w:val="0"/>
      <w:divBdr>
        <w:top w:val="none" w:sz="0" w:space="0" w:color="auto"/>
        <w:left w:val="none" w:sz="0" w:space="0" w:color="auto"/>
        <w:bottom w:val="none" w:sz="0" w:space="0" w:color="auto"/>
        <w:right w:val="none" w:sz="0" w:space="0" w:color="auto"/>
      </w:divBdr>
    </w:div>
    <w:div w:id="17480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bgap-help@ncbi.nlm.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 (NIH/NLM/NCBI) [E]</dc:creator>
  <cp:keywords/>
  <dc:description/>
  <cp:lastModifiedBy>Sturcke, Anne (NIH/NLM/NCBI) [E]</cp:lastModifiedBy>
  <cp:revision>5</cp:revision>
  <dcterms:created xsi:type="dcterms:W3CDTF">2014-11-06T15:06:00Z</dcterms:created>
  <dcterms:modified xsi:type="dcterms:W3CDTF">2014-12-23T20:00:00Z</dcterms:modified>
</cp:coreProperties>
</file>