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b/>
          <w:color w:val="1F4E79"/>
          <w:sz w:val="48"/>
        </w:rPr>
        <w:t>GEO 核心 Skill 能力对比与产品化升级方案</w:t>
      </w:r>
    </w:p>
    <w:p>
      <w:pPr>
        <w:spacing w:before="80" w:after="120"/>
        <w:ind w:left="259" w:right="115"/>
        <w:shd w:fill="EAF2F8"/>
      </w:pPr>
      <w:r>
        <w:rPr>
          <w:rFonts w:ascii="Microsoft YaHei" w:hAnsi="Microsoft YaHei" w:eastAsia="Microsoft YaHei"/>
          <w:color w:val="222222"/>
          <w:sz w:val="19"/>
        </w:rPr>
        <w:t xml:space="preserve">对比对象：本项目 </w:t>
      </w:r>
      <w:r>
        <w:rPr>
          <w:rFonts w:ascii="Consolas" w:hAnsi="Consolas" w:eastAsia="Microsoft YaHei"/>
          <w:color w:val="505050"/>
          <w:sz w:val="19"/>
        </w:rPr>
        <w:t>geo-cn-skills</w:t>
      </w:r>
      <w:r>
        <w:rPr>
          <w:rFonts w:ascii="Microsoft YaHei" w:hAnsi="Microsoft YaHei" w:eastAsia="Microsoft YaHei"/>
          <w:color w:val="222222"/>
          <w:sz w:val="19"/>
        </w:rPr>
        <w:t>、</w:t>
      </w:r>
      <w:r>
        <w:rPr>
          <w:rFonts w:ascii="Consolas" w:hAnsi="Consolas" w:eastAsia="Microsoft YaHei"/>
          <w:color w:val="505050"/>
          <w:sz w:val="19"/>
        </w:rPr>
        <w:t>yaojingang/yao-geo-skills</w:t>
      </w:r>
      <w:r>
        <w:rPr>
          <w:rFonts w:ascii="Microsoft YaHei" w:hAnsi="Microsoft YaHei" w:eastAsia="Microsoft YaHei"/>
          <w:color w:val="222222"/>
          <w:sz w:val="19"/>
        </w:rPr>
        <w:t>、</w:t>
      </w:r>
      <w:r>
        <w:rPr>
          <w:rFonts w:ascii="Consolas" w:hAnsi="Consolas" w:eastAsia="Microsoft YaHei"/>
          <w:color w:val="505050"/>
          <w:sz w:val="19"/>
        </w:rPr>
        <w:t>aaron-he-zhu/seo-geo-claude-skills</w:t>
      </w:r>
    </w:p>
    <w:p>
      <w:pPr>
        <w:spacing w:before="80" w:after="120"/>
        <w:ind w:left="259" w:right="115"/>
        <w:shd w:fill="EAF2F8"/>
      </w:pPr>
      <w:r>
        <w:rPr>
          <w:rFonts w:ascii="Microsoft YaHei" w:hAnsi="Microsoft YaHei" w:eastAsia="Microsoft YaHei"/>
          <w:color w:val="222222"/>
          <w:sz w:val="19"/>
        </w:rPr>
        <w:t>结论日期：2026-06-11</w:t>
      </w:r>
    </w:p>
    <w:p>
      <w:pPr>
        <w:spacing w:before="80" w:after="120"/>
        <w:ind w:left="259" w:right="115"/>
        <w:shd w:fill="EAF2F8"/>
      </w:pPr>
      <w:r>
        <w:rPr>
          <w:rFonts w:ascii="Microsoft YaHei" w:hAnsi="Microsoft YaHei" w:eastAsia="Microsoft YaHei"/>
          <w:color w:val="222222"/>
          <w:sz w:val="19"/>
        </w:rPr>
        <w:t>产品原则：Hermes 是执行环境，客户购买的是可信诊断、可执行内容和可验证增长。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6"/>
        </w:rPr>
        <w:t>1. 核心结论</w:t>
      </w:r>
    </w:p>
    <w:p>
      <w:r>
        <w:rPr>
          <w:rFonts w:ascii="Microsoft YaHei" w:hAnsi="Microsoft YaHei" w:eastAsia="Microsoft YaHei"/>
          <w:color w:val="222222"/>
          <w:sz w:val="21"/>
        </w:rPr>
        <w:t>本项目当前具备完整的 Skill 路由、统一 JSON 契约、国内平台适配和真机采样框架，技术骨架已经超过普通 Demo。但离可收费的生产级 GEO 产品仍有明显距离：过去主要验收“任务能否完成、字段能否落库”，而客户真正验收的是“报告能否用于汇报、建议能否落地、文章能否通过质量门禁、发布后能否用同口径数据证明变化”。</w:t>
      </w:r>
    </w:p>
    <w:p>
      <w:r>
        <w:rPr>
          <w:rFonts w:ascii="Microsoft YaHei" w:hAnsi="Microsoft YaHei" w:eastAsia="Microsoft YaHei"/>
          <w:color w:val="222222"/>
          <w:sz w:val="21"/>
        </w:rPr>
        <w:t xml:space="preserve">本次升级将产品完成标准从 </w:t>
      </w:r>
      <w:r>
        <w:rPr>
          <w:rFonts w:ascii="Consolas" w:hAnsi="Consolas" w:eastAsia="Microsoft YaHei"/>
          <w:color w:val="505050"/>
          <w:sz w:val="21"/>
        </w:rPr>
        <w:t>Hermes run completed</w:t>
      </w:r>
      <w:r>
        <w:rPr>
          <w:rFonts w:ascii="Microsoft YaHei" w:hAnsi="Microsoft YaHei" w:eastAsia="Microsoft YaHei"/>
          <w:color w:val="222222"/>
          <w:sz w:val="21"/>
        </w:rPr>
        <w:t xml:space="preserve"> 调整为：</w:t>
      </w:r>
    </w:p>
    <w:p>
      <w:pPr>
        <w:spacing w:before="80" w:after="120"/>
        <w:ind w:left="259" w:right="115"/>
        <w:shd w:fill="EAF2F8"/>
      </w:pPr>
      <w:r>
        <w:rPr>
          <w:rFonts w:ascii="Microsoft YaHei" w:hAnsi="Microsoft YaHei" w:eastAsia="Microsoft YaHei"/>
          <w:color w:val="222222"/>
          <w:sz w:val="19"/>
        </w:rPr>
        <w:t>有证据的客户结论 + 可执行的 90 天方案 + 可发布的内容资产 + 发布前后实验与谨慎归因。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6"/>
        </w:rPr>
        <w:t>2. 三方能力对比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825"/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1858"/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本项目升级前</w:t>
            </w:r>
          </w:p>
        </w:tc>
        <w:tc>
          <w:tcPr>
            <w:tcW w:type="dxa" w:w="1445"/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yao-geo-skills</w:t>
            </w:r>
          </w:p>
        </w:tc>
        <w:tc>
          <w:tcPr>
            <w:tcW w:type="dxa" w:w="2615"/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seo-geo-claude-skills</w:t>
            </w:r>
          </w:p>
        </w:tc>
        <w:tc>
          <w:tcPr>
            <w:tcW w:type="dxa" w:w="2617"/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本项目目标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国内 AI 平台真机采样</w:t>
            </w:r>
          </w:p>
        </w:tc>
        <w:tc>
          <w:tcPr>
            <w:tcW w:type="dxa" w:w="185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已有五平台框架</w:t>
            </w:r>
          </w:p>
        </w:tc>
        <w:tc>
          <w:tcPr>
            <w:tcW w:type="dxa" w:w="1445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强，强调独立采样口径</w:t>
            </w:r>
          </w:p>
        </w:tc>
        <w:tc>
          <w:tcPr>
            <w:tcW w:type="dxa" w:w="2615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偏海外引擎与通用连接器</w:t>
            </w:r>
          </w:p>
        </w:tc>
        <w:tc>
          <w:tcPr>
            <w:tcW w:type="dxa" w:w="261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保留优势并补重复采样、证据完整率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客户报告</w:t>
            </w:r>
          </w:p>
        </w:tc>
        <w:tc>
          <w:tcPr>
            <w:tcW w:type="dxa" w:w="185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主要是 JSON + 简单 HTML/Markdown</w:t>
            </w:r>
          </w:p>
        </w:tc>
        <w:tc>
          <w:tcPr>
            <w:tcW w:type="dxa" w:w="1445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强，四格式、管理层交付、公开样例</w:t>
            </w:r>
          </w:p>
        </w:tc>
        <w:tc>
          <w:tcPr>
            <w:tcW w:type="dxa" w:w="2615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强，按受众生成绩效报告</w:t>
            </w:r>
          </w:p>
        </w:tc>
        <w:tc>
          <w:tcPr>
            <w:tcW w:type="dxa" w:w="261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一页摘要 + 完整证据 + 90 天路线 + 多格式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全景诊断</w:t>
            </w:r>
          </w:p>
        </w:tc>
        <w:tc>
          <w:tcPr>
            <w:tcW w:type="dxa" w:w="185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有模块清单和总分</w:t>
            </w:r>
          </w:p>
        </w:tc>
        <w:tc>
          <w:tcPr>
            <w:tcW w:type="dxa" w:w="1445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强，12 域、事实交叉验证、站内外机会地图</w:t>
            </w:r>
          </w:p>
        </w:tc>
        <w:tc>
          <w:tcPr>
            <w:tcW w:type="dxa" w:w="2615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分散在多类 Audit</w:t>
            </w:r>
          </w:p>
        </w:tc>
        <w:tc>
          <w:tcPr>
            <w:tcW w:type="dxa" w:w="261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补齐诊断覆盖、证据覆盖和完成门禁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内容质量</w:t>
            </w:r>
          </w:p>
        </w:tc>
        <w:tc>
          <w:tcPr>
            <w:tcW w:type="dxa" w:w="185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CORE-EEAT 快扫</w:t>
            </w:r>
          </w:p>
        </w:tc>
        <w:tc>
          <w:tcPr>
            <w:tcW w:type="dxa" w:w="1445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强，产物与质量门禁</w:t>
            </w:r>
          </w:p>
        </w:tc>
        <w:tc>
          <w:tcPr>
            <w:tcW w:type="dxa" w:w="2615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很强，80 项 CORE-EEAT 和阻断机制</w:t>
            </w:r>
          </w:p>
        </w:tc>
        <w:tc>
          <w:tcPr>
            <w:tcW w:type="dxa" w:w="261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核心项强制门禁，禁止虚构事实和来源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GEO 内容生成</w:t>
            </w:r>
          </w:p>
        </w:tc>
        <w:tc>
          <w:tcPr>
            <w:tcW w:type="dxa" w:w="185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有定义、FAQ、来源要求</w:t>
            </w:r>
          </w:p>
        </w:tc>
        <w:tc>
          <w:tcPr>
            <w:tcW w:type="dxa" w:w="1445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强，榜单/解释/对比等专项交付</w:t>
            </w:r>
          </w:p>
        </w:tc>
        <w:tc>
          <w:tcPr>
            <w:tcW w:type="dxa" w:w="2615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强，Prompt 覆盖与候选引用块</w:t>
            </w:r>
          </w:p>
        </w:tc>
        <w:tc>
          <w:tcPr>
            <w:tcW w:type="dxa" w:w="261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输出可发布正文、目标 Prompt、引用块、来源台账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效果监测</w:t>
            </w:r>
          </w:p>
        </w:tc>
        <w:tc>
          <w:tcPr>
            <w:tcW w:type="dxa" w:w="185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有命中率、提及率和 T+7/14/30 概念</w:t>
            </w:r>
          </w:p>
        </w:tc>
        <w:tc>
          <w:tcPr>
            <w:tcW w:type="dxa" w:w="1445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很强，稳定性、准确率、纠偏与归因</w:t>
            </w:r>
          </w:p>
        </w:tc>
        <w:tc>
          <w:tcPr>
            <w:tcW w:type="dxa" w:w="2615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强，周期报告、指标来源标签</w:t>
            </w:r>
          </w:p>
        </w:tc>
        <w:tc>
          <w:tcPr>
            <w:tcW w:type="dxa" w:w="261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增加候选率、推荐率、有效引用率、稳定性和对照组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归因边界</w:t>
            </w:r>
          </w:p>
        </w:tc>
        <w:tc>
          <w:tcPr>
            <w:tcW w:type="dxa" w:w="185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尚不完整</w:t>
            </w:r>
          </w:p>
        </w:tc>
        <w:tc>
          <w:tcPr>
            <w:tcW w:type="dxa" w:w="1445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明确四档归因置信度</w:t>
            </w:r>
          </w:p>
        </w:tc>
        <w:tc>
          <w:tcPr>
            <w:tcW w:type="dxa" w:w="2615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明确观察与解释分离</w:t>
            </w:r>
          </w:p>
        </w:tc>
        <w:tc>
          <w:tcPr>
            <w:tcW w:type="dxa" w:w="261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只允许观察变化、可能相关、中/高置信归因四档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Eval</w:t>
            </w:r>
          </w:p>
        </w:tc>
        <w:tc>
          <w:tcPr>
            <w:tcW w:type="dxa" w:w="185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主要结构校验</w:t>
            </w:r>
          </w:p>
        </w:tc>
        <w:tc>
          <w:tcPr>
            <w:tcW w:type="dxa" w:w="1445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路由、契约、内容、回归四层</w:t>
            </w:r>
          </w:p>
        </w:tc>
        <w:tc>
          <w:tcPr>
            <w:tcW w:type="dxa" w:w="2615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Skill Contract、Decision Gate、Auditor Gate</w:t>
            </w:r>
          </w:p>
        </w:tc>
        <w:tc>
          <w:tcPr>
            <w:tcW w:type="dxa" w:w="261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建立黄金样本、对抗样本和真实复测集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业务完成标准</w:t>
            </w:r>
          </w:p>
        </w:tc>
        <w:tc>
          <w:tcPr>
            <w:tcW w:type="dxa" w:w="185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返回成功即大体完成</w:t>
            </w:r>
          </w:p>
        </w:tc>
        <w:tc>
          <w:tcPr>
            <w:tcW w:type="dxa" w:w="1445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产物与质量门禁完成</w:t>
            </w:r>
          </w:p>
        </w:tc>
        <w:tc>
          <w:tcPr>
            <w:tcW w:type="dxa" w:w="2615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Done when 与 SHIP/FIX/BLOCK</w:t>
            </w:r>
          </w:p>
        </w:tc>
        <w:tc>
          <w:tcPr>
            <w:tcW w:type="dxa" w:w="261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新增 deliveryStatus、qualityGate、nextBestAction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6"/>
        </w:rPr>
        <w:t>3. 升级后的核心客户旅程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b/>
          <w:color w:val="222222"/>
          <w:sz w:val="21"/>
        </w:rPr>
        <w:t>建立基线</w:t>
      </w:r>
      <w:r>
        <w:rPr>
          <w:rFonts w:ascii="Microsoft YaHei" w:hAnsi="Microsoft YaHei" w:eastAsia="Microsoft YaHei"/>
          <w:color w:val="222222"/>
          <w:sz w:val="21"/>
        </w:rPr>
        <w:t>：围绕购买决策问题，在五个平台完成至少两轮真机采样。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b/>
          <w:color w:val="222222"/>
          <w:sz w:val="21"/>
        </w:rPr>
        <w:t>形成诊断</w:t>
      </w:r>
      <w:r>
        <w:rPr>
          <w:rFonts w:ascii="Microsoft YaHei" w:hAnsi="Microsoft YaHei" w:eastAsia="Microsoft YaHei"/>
          <w:color w:val="222222"/>
          <w:sz w:val="21"/>
        </w:rPr>
        <w:t>：区分事实、内容、结构、技术和外部信源问题，给出证据覆盖率。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b/>
          <w:color w:val="222222"/>
          <w:sz w:val="21"/>
        </w:rPr>
        <w:t>生成方案</w:t>
      </w:r>
      <w:r>
        <w:rPr>
          <w:rFonts w:ascii="Microsoft YaHei" w:hAnsi="Microsoft YaHei" w:eastAsia="Microsoft YaHei"/>
          <w:color w:val="222222"/>
          <w:sz w:val="21"/>
        </w:rPr>
        <w:t>：输出 30/60/90 天行动路线，明确 Owner、工作量、交付物和验收指标。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b/>
          <w:color w:val="222222"/>
          <w:sz w:val="21"/>
        </w:rPr>
        <w:t>生产内容</w:t>
      </w:r>
      <w:r>
        <w:rPr>
          <w:rFonts w:ascii="Microsoft YaHei" w:hAnsi="Microsoft YaHei" w:eastAsia="Microsoft YaHei"/>
          <w:color w:val="222222"/>
          <w:sz w:val="21"/>
        </w:rPr>
        <w:t>：每篇内容绑定目标 Prompt、品牌事实和来源，通过发布质量门禁。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b/>
          <w:color w:val="222222"/>
          <w:sz w:val="21"/>
        </w:rPr>
        <w:t>真实发布</w:t>
      </w:r>
      <w:r>
        <w:rPr>
          <w:rFonts w:ascii="Microsoft YaHei" w:hAnsi="Microsoft YaHei" w:eastAsia="Microsoft YaHei"/>
          <w:color w:val="222222"/>
          <w:sz w:val="21"/>
        </w:rPr>
        <w:t>：记录内容版本、平台、URL 和时间，建立实验处理对象。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b/>
          <w:color w:val="222222"/>
          <w:sz w:val="21"/>
        </w:rPr>
        <w:t>持续复测</w:t>
      </w:r>
      <w:r>
        <w:rPr>
          <w:rFonts w:ascii="Microsoft YaHei" w:hAnsi="Microsoft YaHei" w:eastAsia="Microsoft YaHei"/>
          <w:color w:val="222222"/>
          <w:sz w:val="21"/>
        </w:rPr>
        <w:t>：T+7、T+14、T+30 使用固定口径复测，并保留原始回答与截图。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b/>
          <w:color w:val="222222"/>
          <w:sz w:val="21"/>
        </w:rPr>
        <w:t>报告变化</w:t>
      </w:r>
      <w:r>
        <w:rPr>
          <w:rFonts w:ascii="Microsoft YaHei" w:hAnsi="Microsoft YaHei" w:eastAsia="Microsoft YaHei"/>
          <w:color w:val="222222"/>
          <w:sz w:val="21"/>
        </w:rPr>
        <w:t>：展示品牌出现率、候选率、推荐率、引用率、准确率和竞品差距。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b/>
          <w:color w:val="222222"/>
          <w:sz w:val="21"/>
        </w:rPr>
        <w:t>谨慎归因</w:t>
      </w:r>
      <w:r>
        <w:rPr>
          <w:rFonts w:ascii="Microsoft YaHei" w:hAnsi="Microsoft YaHei" w:eastAsia="Microsoft YaHei"/>
          <w:color w:val="222222"/>
          <w:sz w:val="21"/>
        </w:rPr>
        <w:t>：有对照和足够样本才提升归因置信度，否则只描述观察变化。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6"/>
        </w:rPr>
        <w:t>4. 正式报告必须回答的问题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222222"/>
          <w:sz w:val="21"/>
        </w:rPr>
        <w:t>当前品牌在什么购买问题、什么平台中被提及、成为候选或被推荐？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222222"/>
          <w:sz w:val="21"/>
        </w:rPr>
        <w:t>AI 如何描述品牌，哪些事实正确，哪些错误或缺失？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222222"/>
          <w:sz w:val="21"/>
        </w:rPr>
        <w:t>AI 引用了哪些来源，官网和第三方证据分别占多少？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222222"/>
          <w:sz w:val="21"/>
        </w:rPr>
        <w:t>主要竞品为什么更容易出现或被推荐？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222222"/>
          <w:sz w:val="21"/>
        </w:rPr>
        <w:t>未来 90 天应该先改页面、补证据、发什么内容、去哪发布？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222222"/>
          <w:sz w:val="21"/>
        </w:rPr>
        <w:t>每项动作由谁做、需要多少工作量、怎样算完成？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222222"/>
          <w:sz w:val="21"/>
        </w:rPr>
        <w:t>发布后指标是否变化，变化是否稳定，能否排除平台波动和外部事件？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6"/>
        </w:rPr>
        <w:t>5. 产品级验收指标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627"/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7733"/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最低标准</w:t>
            </w:r>
          </w:p>
        </w:tc>
      </w:tr>
      <w:tr>
        <w:tc>
          <w:tcPr>
            <w:tcW w:type="dxa" w:w="162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契约</w:t>
            </w:r>
          </w:p>
        </w:tc>
        <w:tc>
          <w:tcPr>
            <w:tcW w:type="dxa" w:w="7733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必需字段和产物完整率 100%</w:t>
            </w:r>
          </w:p>
        </w:tc>
      </w:tr>
      <w:tr>
        <w:tc>
          <w:tcPr>
            <w:tcW w:type="dxa" w:w="162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真实性</w:t>
            </w:r>
          </w:p>
        </w:tc>
        <w:tc>
          <w:tcPr>
            <w:tcW w:type="dxa" w:w="7733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虚假引用 0；关键事实冲突 0</w:t>
            </w:r>
          </w:p>
        </w:tc>
      </w:tr>
      <w:tr>
        <w:tc>
          <w:tcPr>
            <w:tcW w:type="dxa" w:w="162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证据</w:t>
            </w:r>
          </w:p>
        </w:tc>
        <w:tc>
          <w:tcPr>
            <w:tcW w:type="dxa" w:w="7733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正式报告关键结论证据覆盖率 &gt;= 80%</w:t>
            </w:r>
          </w:p>
        </w:tc>
      </w:tr>
      <w:tr>
        <w:tc>
          <w:tcPr>
            <w:tcW w:type="dxa" w:w="162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报告</w:t>
            </w:r>
          </w:p>
        </w:tc>
        <w:tc>
          <w:tcPr>
            <w:tcW w:type="dxa" w:w="7733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管理层摘要、证据、机会、路线、验证计划章节齐全</w:t>
            </w:r>
          </w:p>
        </w:tc>
      </w:tr>
      <w:tr>
        <w:tc>
          <w:tcPr>
            <w:tcW w:type="dxa" w:w="162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内容</w:t>
            </w:r>
          </w:p>
        </w:tc>
        <w:tc>
          <w:tcPr>
            <w:tcW w:type="dxa" w:w="7733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每个目标 Prompt 有独立回答块，关键 CORE-EEAT 项无未解决 Fail</w:t>
            </w:r>
          </w:p>
        </w:tc>
      </w:tr>
      <w:tr>
        <w:tc>
          <w:tcPr>
            <w:tcW w:type="dxa" w:w="162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采样</w:t>
            </w:r>
          </w:p>
        </w:tc>
        <w:tc>
          <w:tcPr>
            <w:tcW w:type="dxa" w:w="7733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失败不计未命中；环境、Prompt 版本、时间与原文可追溯</w:t>
            </w:r>
          </w:p>
        </w:tc>
      </w:tr>
      <w:tr>
        <w:tc>
          <w:tcPr>
            <w:tcW w:type="dxa" w:w="162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效果</w:t>
            </w:r>
          </w:p>
        </w:tc>
        <w:tc>
          <w:tcPr>
            <w:tcW w:type="dxa" w:w="7733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基线与 T+7/14/30 同口径；处理/对照 Prompt 可区分</w:t>
            </w:r>
          </w:p>
        </w:tc>
      </w:tr>
      <w:tr>
        <w:tc>
          <w:tcPr>
            <w:tcW w:type="dxa" w:w="1627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归因</w:t>
            </w:r>
          </w:p>
        </w:tc>
        <w:tc>
          <w:tcPr>
            <w:tcW w:type="dxa" w:w="7733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无充分对照时不作确定性因果承诺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6"/>
        </w:rPr>
        <w:t>6. 本次已落地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222222"/>
          <w:sz w:val="21"/>
        </w:rPr>
        <w:t xml:space="preserve">新增 </w:t>
      </w:r>
      <w:r>
        <w:rPr>
          <w:rFonts w:ascii="Consolas" w:hAnsi="Consolas" w:eastAsia="Microsoft YaHei"/>
          <w:color w:val="505050"/>
          <w:sz w:val="21"/>
        </w:rPr>
        <w:t>shared/product-grade-delivery-standard.md</w:t>
      </w:r>
      <w:r>
        <w:rPr>
          <w:rFonts w:ascii="Microsoft YaHei" w:hAnsi="Microsoft YaHei" w:eastAsia="Microsoft YaHei"/>
          <w:color w:val="222222"/>
          <w:sz w:val="21"/>
        </w:rPr>
        <w:t>，定义客户交付、内容门禁、实验和业务完成标准。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222222"/>
          <w:sz w:val="21"/>
        </w:rPr>
        <w:t xml:space="preserve">新增 </w:t>
      </w:r>
      <w:r>
        <w:rPr>
          <w:rFonts w:ascii="Consolas" w:hAnsi="Consolas" w:eastAsia="Microsoft YaHei"/>
          <w:color w:val="505050"/>
          <w:sz w:val="21"/>
        </w:rPr>
        <w:t>shared/references/measurement-attribution.md</w:t>
      </w:r>
      <w:r>
        <w:rPr>
          <w:rFonts w:ascii="Microsoft YaHei" w:hAnsi="Microsoft YaHei" w:eastAsia="Microsoft YaHei"/>
          <w:color w:val="222222"/>
          <w:sz w:val="21"/>
        </w:rPr>
        <w:t>，统一效果指标和归因等级。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222222"/>
          <w:sz w:val="21"/>
        </w:rPr>
        <w:t xml:space="preserve">升级 </w:t>
      </w:r>
      <w:r>
        <w:rPr>
          <w:rFonts w:ascii="Consolas" w:hAnsi="Consolas" w:eastAsia="Microsoft YaHei"/>
          <w:color w:val="505050"/>
          <w:sz w:val="21"/>
        </w:rPr>
        <w:t>geo-audit</w:t>
      </w:r>
      <w:r>
        <w:rPr>
          <w:rFonts w:ascii="Microsoft YaHei" w:hAnsi="Microsoft YaHei" w:eastAsia="Microsoft YaHei"/>
          <w:color w:val="222222"/>
          <w:sz w:val="21"/>
        </w:rPr>
        <w:t>、</w:t>
      </w:r>
      <w:r>
        <w:rPr>
          <w:rFonts w:ascii="Consolas" w:hAnsi="Consolas" w:eastAsia="Microsoft YaHei"/>
          <w:color w:val="505050"/>
          <w:sz w:val="21"/>
        </w:rPr>
        <w:t>geo-report-web</w:t>
      </w:r>
      <w:r>
        <w:rPr>
          <w:rFonts w:ascii="Microsoft YaHei" w:hAnsi="Microsoft YaHei" w:eastAsia="Microsoft YaHei"/>
          <w:color w:val="222222"/>
          <w:sz w:val="21"/>
        </w:rPr>
        <w:t>、</w:t>
      </w:r>
      <w:r>
        <w:rPr>
          <w:rFonts w:ascii="Consolas" w:hAnsi="Consolas" w:eastAsia="Microsoft YaHei"/>
          <w:color w:val="505050"/>
          <w:sz w:val="21"/>
        </w:rPr>
        <w:t>geo-article-generation-web</w:t>
      </w:r>
      <w:r>
        <w:rPr>
          <w:rFonts w:ascii="Microsoft YaHei" w:hAnsi="Microsoft YaHei" w:eastAsia="Microsoft YaHei"/>
          <w:color w:val="222222"/>
          <w:sz w:val="21"/>
        </w:rPr>
        <w:t>、</w:t>
      </w:r>
      <w:r>
        <w:rPr>
          <w:rFonts w:ascii="Consolas" w:hAnsi="Consolas" w:eastAsia="Microsoft YaHei"/>
          <w:color w:val="505050"/>
          <w:sz w:val="21"/>
        </w:rPr>
        <w:t>geo-content</w:t>
      </w:r>
      <w:r>
        <w:rPr>
          <w:rFonts w:ascii="Microsoft YaHei" w:hAnsi="Microsoft YaHei" w:eastAsia="Microsoft YaHei"/>
          <w:color w:val="222222"/>
          <w:sz w:val="21"/>
        </w:rPr>
        <w:t>、</w:t>
      </w:r>
      <w:r>
        <w:rPr>
          <w:rFonts w:ascii="Consolas" w:hAnsi="Consolas" w:eastAsia="Microsoft YaHei"/>
          <w:color w:val="505050"/>
          <w:sz w:val="21"/>
        </w:rPr>
        <w:t>geo-citability</w:t>
      </w:r>
      <w:r>
        <w:rPr>
          <w:rFonts w:ascii="Microsoft YaHei" w:hAnsi="Microsoft YaHei" w:eastAsia="Microsoft YaHei"/>
          <w:color w:val="222222"/>
          <w:sz w:val="21"/>
        </w:rPr>
        <w:t>、</w:t>
      </w:r>
      <w:r>
        <w:rPr>
          <w:rFonts w:ascii="Consolas" w:hAnsi="Consolas" w:eastAsia="Microsoft YaHei"/>
          <w:color w:val="505050"/>
          <w:sz w:val="21"/>
        </w:rPr>
        <w:t>geo-platform-ranking-sampling</w:t>
      </w:r>
      <w:r>
        <w:rPr>
          <w:rFonts w:ascii="Microsoft YaHei" w:hAnsi="Microsoft YaHei" w:eastAsia="Microsoft YaHei"/>
          <w:color w:val="222222"/>
          <w:sz w:val="21"/>
        </w:rPr>
        <w:t>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222222"/>
          <w:sz w:val="21"/>
        </w:rPr>
        <w:t xml:space="preserve">扩展 </w:t>
      </w:r>
      <w:r>
        <w:rPr>
          <w:rFonts w:ascii="Consolas" w:hAnsi="Consolas" w:eastAsia="Microsoft YaHei"/>
          <w:color w:val="505050"/>
          <w:sz w:val="21"/>
        </w:rPr>
        <w:t>geoWebOutput.v1</w:t>
      </w:r>
      <w:r>
        <w:rPr>
          <w:rFonts w:ascii="Microsoft YaHei" w:hAnsi="Microsoft YaHei" w:eastAsia="Microsoft YaHei"/>
          <w:color w:val="222222"/>
          <w:sz w:val="21"/>
        </w:rPr>
        <w:t xml:space="preserve">，新增 </w:t>
      </w:r>
      <w:r>
        <w:rPr>
          <w:rFonts w:ascii="Consolas" w:hAnsi="Consolas" w:eastAsia="Microsoft YaHei"/>
          <w:color w:val="505050"/>
          <w:sz w:val="21"/>
        </w:rPr>
        <w:t>deliveryStatus</w:t>
      </w:r>
      <w:r>
        <w:rPr>
          <w:rFonts w:ascii="Microsoft YaHei" w:hAnsi="Microsoft YaHei" w:eastAsia="Microsoft YaHei"/>
          <w:color w:val="222222"/>
          <w:sz w:val="21"/>
        </w:rPr>
        <w:t>、</w:t>
      </w:r>
      <w:r>
        <w:rPr>
          <w:rFonts w:ascii="Consolas" w:hAnsi="Consolas" w:eastAsia="Microsoft YaHei"/>
          <w:color w:val="505050"/>
          <w:sz w:val="21"/>
        </w:rPr>
        <w:t>qualityGate</w:t>
      </w:r>
      <w:r>
        <w:rPr>
          <w:rFonts w:ascii="Microsoft YaHei" w:hAnsi="Microsoft YaHei" w:eastAsia="Microsoft YaHei"/>
          <w:color w:val="222222"/>
          <w:sz w:val="21"/>
        </w:rPr>
        <w:t>、</w:t>
      </w:r>
      <w:r>
        <w:rPr>
          <w:rFonts w:ascii="Consolas" w:hAnsi="Consolas" w:eastAsia="Microsoft YaHei"/>
          <w:color w:val="505050"/>
          <w:sz w:val="21"/>
        </w:rPr>
        <w:t>nextBestAction</w:t>
      </w:r>
      <w:r>
        <w:rPr>
          <w:rFonts w:ascii="Microsoft YaHei" w:hAnsi="Microsoft YaHei" w:eastAsia="Microsoft YaHei"/>
          <w:color w:val="222222"/>
          <w:sz w:val="21"/>
        </w:rPr>
        <w:t>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222222"/>
          <w:sz w:val="21"/>
        </w:rPr>
        <w:t>修复服务端报告落库，保存完整 Skill 输出、质量门禁、证据台账和验证计划。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222222"/>
          <w:sz w:val="21"/>
        </w:rPr>
        <w:t>扩展客户 PDF/打印报告，优先展示管理层摘要、证据覆盖和下一步动作。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6"/>
        </w:rPr>
        <w:t>7. 下一阶段必须完成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color w:val="222222"/>
          <w:sz w:val="21"/>
        </w:rPr>
        <w:t>建立至少 5 个真实行业黄金项目集，每个项目包含 T0 与发布后复测数据。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color w:val="222222"/>
          <w:sz w:val="21"/>
        </w:rPr>
        <w:t>为六个核心 Skill 建立路由、契约、内容、回归和对抗 Eval。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color w:val="222222"/>
          <w:sz w:val="21"/>
        </w:rPr>
        <w:t xml:space="preserve">把报告 </w:t>
      </w:r>
      <w:r>
        <w:rPr>
          <w:rFonts w:ascii="Consolas" w:hAnsi="Consolas" w:eastAsia="Microsoft YaHei"/>
          <w:color w:val="505050"/>
          <w:sz w:val="21"/>
        </w:rPr>
        <w:t>SHIP/FIX/BLOCK</w:t>
      </w:r>
      <w:r>
        <w:rPr>
          <w:rFonts w:ascii="Microsoft YaHei" w:hAnsi="Microsoft YaHei" w:eastAsia="Microsoft YaHei"/>
          <w:color w:val="222222"/>
          <w:sz w:val="21"/>
        </w:rPr>
        <w:t xml:space="preserve"> 门禁接入正式 UI，</w:t>
      </w:r>
      <w:r>
        <w:rPr>
          <w:rFonts w:ascii="Consolas" w:hAnsi="Consolas" w:eastAsia="Microsoft YaHei"/>
          <w:color w:val="505050"/>
          <w:sz w:val="21"/>
        </w:rPr>
        <w:t>BLOCK</w:t>
      </w:r>
      <w:r>
        <w:rPr>
          <w:rFonts w:ascii="Microsoft YaHei" w:hAnsi="Microsoft YaHei" w:eastAsia="Microsoft YaHei"/>
          <w:color w:val="222222"/>
          <w:sz w:val="21"/>
        </w:rPr>
        <w:t xml:space="preserve"> 产物禁止直接对客户发布。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color w:val="222222"/>
          <w:sz w:val="21"/>
        </w:rPr>
        <w:t>建立 Prompt 版本、实验版本和平台规则版本，确保历史数据可比较。</w:t>
      </w:r>
    </w:p>
    <w:p>
      <w:pPr>
        <w:pStyle w:val="ListNumber"/>
        <w:spacing w:after="50"/>
      </w:pPr>
      <w:r>
        <w:rPr>
          <w:rFonts w:ascii="Microsoft YaHei" w:hAnsi="Microsoft YaHei" w:eastAsia="Microsoft YaHei"/>
          <w:color w:val="222222"/>
          <w:sz w:val="21"/>
        </w:rPr>
        <w:t>用真实发布项目验证 30 天闭环，产品验收从“接口成功率”升级为“客户交付通过率与可观测指标改善率”。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7878"/>
        <w:sz w:val="16"/>
      </w:rPr>
      <w:t>GEO 核心 Skill 能力对比与产品化升级方案  |  2026-06-11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E6E6E"/>
        <w:sz w:val="17"/>
      </w:rPr>
      <w:t>GEO 投放助手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