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 Proposal — Two-Day Discovery &amp; Architecture Sprint</w:t>
      </w:r>
    </w:p>
    <w:p>
      <w:r>
        <w:rPr>
          <w:b/>
        </w:rPr>
        <w:t>Pre-Workshop Engagement: POS Data Analysis Scoping &amp; Secure 10-User AI Deployment Plan</w:t>
      </w:r>
    </w:p>
    <w:p>
      <w:pPr>
        <w:pBdr>
          <w:bottom w:val="single" w:sz="6" w:space="1" w:color="999999"/>
        </w:pBdr>
      </w:pP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986"/>
            <w:shd w:val="clear" w:color="auto" w:fill="1F3A5F"/>
            <w:vAlign w:val="center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/>
              </w:rPr>
              <w:t>Prepared for</w:t>
            </w:r>
          </w:p>
        </w:tc>
        <w:tc>
          <w:tcPr>
            <w:tcW w:type="dxa" w:w="4986"/>
            <w:vAlign w:val="top"/>
          </w:tcPr>
          <w:p>
            <w:r/>
            <w:r>
              <w:t>LDC Import-Export Group — Vientiane, Lao PDR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4986"/>
            <w:vAlign w:val="top"/>
          </w:tcPr>
          <w:p>
            <w:r/>
            <w:r>
              <w:t>QUEST EDTECH (Kirk Pathumanun)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  <w:vAlign w:val="top"/>
          </w:tcPr>
          <w:p>
            <w:r/>
            <w:r>
              <w:t>8 May 2026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/>
              </w:rPr>
              <w:t>Engagement type</w:t>
            </w:r>
          </w:p>
        </w:tc>
        <w:tc>
          <w:tcPr>
            <w:tcW w:type="dxa" w:w="4986"/>
            <w:vAlign w:val="top"/>
          </w:tcPr>
          <w:p>
            <w:r/>
            <w:r>
              <w:t>Fixed-fee consulting — 2 working days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/>
              </w:rPr>
              <w:t>Fee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/>
              </w:rPr>
              <w:t>THB 50,000</w:t>
            </w:r>
            <w:r>
              <w:t xml:space="preserve"> (all-inclusive)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top"/>
          </w:tcPr>
          <w:p>
            <w:r/>
            <w:r>
              <w:t>Proposal — for LDC review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This is a proposal for a </w:t>
      </w:r>
      <w:r>
        <w:rPr>
          <w:b/>
        </w:rPr>
        <w:t>two-day fixed-fee consulting engagement</w:t>
      </w:r>
      <w:r>
        <w:t xml:space="preserve"> that sits </w:t>
      </w:r>
      <w:r>
        <w:rPr>
          <w:i/>
        </w:rPr>
        <w:t>upstream</w:t>
      </w:r>
      <w:r>
        <w:t xml:space="preserve"> of the previously proposed Claude Co-Work workshop. Its purpose is to de-risk LDC's investment in AI-powered Excel and POS analytics by producing, in advance of any tool purchase or training, four practical artifacts:</w:t>
      </w:r>
    </w:p>
    <w:p>
      <w:pPr>
        <w:pStyle w:val="ListNumber"/>
      </w:pPr>
      <w:r>
        <w:t xml:space="preserve">A </w:t>
      </w:r>
      <w:r>
        <w:rPr>
          <w:b/>
        </w:rPr>
        <w:t>POS data analysis requirements document</w:t>
      </w:r>
      <w:r>
        <w:t xml:space="preserve"> mapped to LDC's actual POS exports across the 33 Jiffy branches and the five other subsidiary lines.</w:t>
      </w:r>
    </w:p>
    <w:p>
      <w:pPr>
        <w:pStyle w:val="ListNumber"/>
      </w:pPr>
      <w:r>
        <w:t xml:space="preserve">A </w:t>
      </w:r>
      <w:r>
        <w:rPr>
          <w:b/>
        </w:rPr>
        <w:t>secure 10-user deployment architecture</w:t>
      </w:r>
      <w:r>
        <w:t xml:space="preserve"> that explicitly addresses the shadow-AI and data-sovereignty concerns LDC raised in May 2026, with Claude Co-Work positioned alongside a complementary on-premises path that keeps confidential data inside LDC's network.</w:t>
      </w:r>
    </w:p>
    <w:p>
      <w:pPr>
        <w:pStyle w:val="ListNumber"/>
      </w:pPr>
      <w:r>
        <w:t xml:space="preserve">A </w:t>
      </w:r>
      <w:r>
        <w:rPr>
          <w:b/>
        </w:rPr>
        <w:t>POS-grounded curriculum outline</w:t>
      </w:r>
      <w:r>
        <w:t xml:space="preserve"> for the subsequent workshop, with every module tied to a real LDC dataset rather than generic retail examples.</w:t>
      </w:r>
    </w:p>
    <w:p>
      <w:pPr>
        <w:pStyle w:val="ListNumber"/>
      </w:pPr>
      <w:r>
        <w:t xml:space="preserve">A </w:t>
      </w:r>
      <w:r>
        <w:rPr>
          <w:b/>
        </w:rPr>
        <w:t>feasibility prototype pack</w:t>
      </w:r>
      <w:r>
        <w:t xml:space="preserve"> — a recorded demonstration of the recommended tool stack performing a live analytical task on LDC sample POS data, packaged so LDC can replay or reproduce it after the engagement.</w:t>
      </w:r>
    </w:p>
    <w:p>
      <w:r>
        <w:t>The engagement is intentionally narrow: discover, evaluate, demonstrate, recommend. No production tools are deployed, no servers are stood up, and no staff are formally trained during these two days. The prototype is a feasibility demonstration on LDC's own data — not a deployable production system. The output is a board-ready plan that LDC's executive and IT leadership can approve, modify, or decline with full information.</w:t>
      </w:r>
    </w:p>
    <w:p>
      <w:r>
        <w:rPr>
          <w:b/>
        </w:rPr>
        <w:t>Investment:</w:t>
      </w:r>
      <w:r>
        <w:t xml:space="preserve"> THB 50,000 fixed fee.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Why a Discovery Sprint Before the Workshop</w:t>
      </w:r>
    </w:p>
    <w:p>
      <w:r>
        <w:t>LDC has correctly identified two risks that a generic workshop cannot resolve on its own:</w:t>
      </w:r>
    </w:p>
    <w:p>
      <w:pPr>
        <w:pStyle w:val="ListBullet"/>
      </w:pPr>
      <w:r>
        <w:rPr>
          <w:b/>
        </w:rPr>
        <w:t>Shadow AI risk</w:t>
      </w:r>
      <w:r>
        <w:t xml:space="preserve"> — staff already use consumer AI tools (Claude.ai Free, ChatGPT, DeepSeek) on confidential POS, margin, and supplier data, with multi-year retention and training-on-input under those vendors' consumer terms.</w:t>
      </w:r>
    </w:p>
    <w:p>
      <w:pPr>
        <w:pStyle w:val="ListBullet"/>
      </w:pPr>
      <w:r>
        <w:rPr>
          <w:b/>
        </w:rPr>
        <w:t>Data sovereignty</w:t>
      </w:r>
      <w:r>
        <w:t xml:space="preserve"> — confidential pricing, supplier negotiation, and board-level financial data should not flow to a foreign cloud without explicit governance.</w:t>
      </w:r>
    </w:p>
    <w:p>
      <w:r>
        <w:t xml:space="preserve">A standard "buy Claude for Team and run a 2-day workshop" engagement would address the </w:t>
      </w:r>
      <w:r>
        <w:rPr>
          <w:i/>
        </w:rPr>
        <w:t>training</w:t>
      </w:r>
      <w:r>
        <w:t xml:space="preserve"> gap but leave the </w:t>
      </w:r>
      <w:r>
        <w:rPr>
          <w:i/>
        </w:rPr>
        <w:t>governance</w:t>
      </w:r>
      <w:r>
        <w:t xml:space="preserve"> and </w:t>
      </w:r>
      <w:r>
        <w:rPr>
          <w:i/>
        </w:rPr>
        <w:t>architecture</w:t>
      </w:r>
      <w:r>
        <w:t xml:space="preserve"> gaps unsolved. The result would be a half-built deployment: trained users with no clear policy on which data goes where, and no controls on which tools they may use.</w:t>
      </w:r>
    </w:p>
    <w:p>
      <w:r>
        <w:t>This sprint closes those gaps before tool purchase. The deliverables answer four questions in writing:</w:t>
      </w:r>
    </w:p>
    <w:p>
      <w:pPr>
        <w:pStyle w:val="ListBullet"/>
      </w:pPr>
      <w:r>
        <w:t>What POS analysis tasks are actually needed, by which subsidiary, at what cadence?</w:t>
      </w:r>
    </w:p>
    <w:p>
      <w:pPr>
        <w:pStyle w:val="ListBullet"/>
      </w:pPr>
      <w:r>
        <w:t>Which of those tasks may use Claude Co-Work in the cloud, and which must stay on a sovereign on-premises path?</w:t>
      </w:r>
    </w:p>
    <w:p>
      <w:pPr>
        <w:pStyle w:val="ListBullet"/>
      </w:pPr>
      <w:r>
        <w:t>What is the minimum technical footprint required to support 10 named users securely, and what does it cost?</w:t>
      </w:r>
    </w:p>
    <w:p>
      <w:pPr>
        <w:pStyle w:val="ListBullet"/>
      </w:pPr>
      <w:r>
        <w:t>What does the workshop curriculum need to look like so it teaches LDC's actual data, not generic retail examples?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Scope — What Is Included</w:t>
      </w:r>
    </w:p>
    <w:p>
      <w:pPr>
        <w:pStyle w:val="Heading3"/>
      </w:pPr>
      <w:r>
        <w:t>3.1 POS data analysis discovery</w:t>
      </w:r>
    </w:p>
    <w:p>
      <w:pPr>
        <w:pStyle w:val="ListBullet"/>
      </w:pPr>
      <w:r>
        <w:t xml:space="preserve">Review of representative POS exports from up to </w:t>
      </w:r>
      <w:r>
        <w:rPr>
          <w:b/>
        </w:rPr>
        <w:t>3 Jiffy branches</w:t>
      </w:r>
      <w:r>
        <w:t xml:space="preserve"> spanning different provinces (e.g., Vientiane, Pakse, Luang Prabang) to capture lead-time and ranging variance.</w:t>
      </w:r>
    </w:p>
    <w:p>
      <w:pPr>
        <w:pStyle w:val="ListBullet"/>
      </w:pPr>
      <w:r>
        <w:t xml:space="preserve">Review of representative datasets from up to </w:t>
      </w:r>
      <w:r>
        <w:rPr>
          <w:b/>
        </w:rPr>
        <w:t>2 additional subsidiaries</w:t>
      </w:r>
      <w:r>
        <w:t xml:space="preserve"> (recommended: SkyCool dealer/order data and Gourmet supplier/margin data, given SkyCool's +31.4% YoY growth and Gourmet's −2.1% YoY decline).</w:t>
      </w:r>
    </w:p>
    <w:p>
      <w:pPr>
        <w:pStyle w:val="ListBullet"/>
      </w:pPr>
      <w:r>
        <w:t>Catalogue of file formats, schemas, language mix (Lao/English/Thai), data quality issues, and integration points with existing systems (POS, ERP if any).</w:t>
      </w:r>
    </w:p>
    <w:p>
      <w:pPr>
        <w:pStyle w:val="ListBullet"/>
      </w:pPr>
      <w:r>
        <w:t xml:space="preserve">Inventory of the </w:t>
      </w:r>
      <w:r>
        <w:rPr>
          <w:b/>
        </w:rPr>
        <w:t>top 8–10 analytical questions</w:t>
      </w:r>
      <w:r>
        <w:t xml:space="preserve"> LDC's operations, finance, and merchandising teams need answered weekly or monthly.</w:t>
      </w:r>
    </w:p>
    <w:p>
      <w:pPr>
        <w:pStyle w:val="Heading3"/>
      </w:pPr>
      <w:r>
        <w:t>3.2 Tool stack evaluation</w:t>
      </w:r>
    </w:p>
    <w:p>
      <w:r>
        <w:t>A direct, hands-on comparison of how LDC's actual data is best served by:</w:t>
      </w:r>
    </w:p>
    <w:p>
      <w:pPr>
        <w:pStyle w:val="ListBullet"/>
      </w:pPr>
      <w:r>
        <w:rPr>
          <w:b/>
        </w:rPr>
        <w:t>Claude Co-Work</w:t>
      </w:r>
      <w:r>
        <w:t xml:space="preserve"> (Claude for Team — Excel add-in and web client) as the cloud operational lane.</w:t>
      </w:r>
    </w:p>
    <w:p>
      <w:pPr>
        <w:pStyle w:val="ListBullet"/>
      </w:pPr>
      <w:r>
        <w:rPr>
          <w:b/>
        </w:rPr>
        <w:t>A complementary on-premises AI configuration</w:t>
      </w:r>
      <w:r>
        <w:t xml:space="preserve"> that the consultant will recommend and demonstrate, built from sovereign open-source components selected for LDC's mixed Lao/English/Thai content and 10-user scale.</w:t>
      </w:r>
    </w:p>
    <w:p>
      <w:r>
        <w:t xml:space="preserve">The deliverable is a </w:t>
      </w:r>
      <w:r>
        <w:rPr>
          <w:b/>
        </w:rPr>
        <w:t>side-by-side scorecard</w:t>
      </w:r>
      <w:r>
        <w:t xml:space="preserve"> showing where each path wins, loses, or ties on LDC's actual data — not a generic feature comparison. The specific component choices in the on-premises configuration are the consultancy's expert recommendation and are documented in the deliverables LDC receives at the end of the sprint.</w:t>
      </w:r>
    </w:p>
    <w:p>
      <w:pPr>
        <w:pStyle w:val="Heading3"/>
      </w:pPr>
      <w:r>
        <w:t>3.3 Secure 10-user deployment plan</w:t>
      </w:r>
    </w:p>
    <w:p>
      <w:r>
        <w:t>Concrete architecture for a 10-named-user pilot that addresses the shadow-AI objection directly:</w:t>
      </w:r>
    </w:p>
    <w:p>
      <w:pPr>
        <w:pStyle w:val="ListBullet"/>
      </w:pPr>
      <w:r>
        <w:rPr>
          <w:b/>
        </w:rPr>
        <w:t>Two-lane architecture</w:t>
      </w:r>
      <w:r>
        <w:t xml:space="preserve"> (operational vs sovereign) with a written data classification policy showing which subsidiary, which task, which user, and which lane.</w:t>
      </w:r>
    </w:p>
    <w:p>
      <w:pPr>
        <w:pStyle w:val="ListBullet"/>
      </w:pPr>
      <w:r>
        <w:rPr>
          <w:b/>
        </w:rPr>
        <w:t>Hardware sizing</w:t>
      </w:r>
      <w:r>
        <w:t xml:space="preserve"> for the sovereign lane with Vientiane and Bangkok supplier price/lead-time references.</w:t>
      </w:r>
    </w:p>
    <w:p>
      <w:pPr>
        <w:pStyle w:val="ListBullet"/>
      </w:pPr>
      <w:r>
        <w:rPr>
          <w:b/>
        </w:rPr>
        <w:t>Identity, access, and audit plan</w:t>
      </w:r>
      <w:r>
        <w:t xml:space="preserve"> — how the 10 user identities are provisioned, logged, and revoked.</w:t>
      </w:r>
    </w:p>
    <w:p>
      <w:pPr>
        <w:pStyle w:val="ListBullet"/>
      </w:pPr>
      <w:r>
        <w:rPr>
          <w:b/>
        </w:rPr>
        <w:t>Shadow-AI control measures</w:t>
      </w:r>
      <w:r>
        <w:t xml:space="preserve"> — sanctioned-tool whitelist, blocked-domain approach for consumer AI sites, browser policies, and the "what to redact" checklist staff will be trained against in the subsequent workshop.</w:t>
      </w:r>
    </w:p>
    <w:p>
      <w:pPr>
        <w:pStyle w:val="Heading3"/>
      </w:pPr>
      <w:r>
        <w:t>3.4 Workshop curriculum outline (POS-grounded)</w:t>
      </w:r>
    </w:p>
    <w:p>
      <w:r>
        <w:t>A revised version of the previously proposed 11-module workshop curriculum with every module re-anchored to a specific LDC dataset and subsidiary:</w:t>
      </w:r>
    </w:p>
    <w:p>
      <w:pPr>
        <w:pStyle w:val="ListBullet"/>
      </w:pPr>
      <w:r>
        <w:t>Module mapping: each module names the dataset (e.g., "Module 5 — Plain-English Formulas, using Jiffy Vientiane Q1 2026 POS export") rather than a generic example.</w:t>
      </w:r>
    </w:p>
    <w:p>
      <w:pPr>
        <w:pStyle w:val="ListBullet"/>
      </w:pPr>
      <w:r>
        <w:t xml:space="preserve">Replacement of the generic "Module 10 — Ethical AI" with a concrete </w:t>
      </w:r>
      <w:r>
        <w:rPr>
          <w:b/>
        </w:rPr>
        <w:t>"AI Data Governance &amp; Two-Lane Architecture"</w:t>
      </w:r>
      <w:r>
        <w:t xml:space="preserve"> module derived from the deployment plan in 3.3.</w:t>
      </w:r>
    </w:p>
    <w:p>
      <w:pPr>
        <w:pStyle w:val="ListBullet"/>
      </w:pPr>
      <w:r>
        <w:t>A worked POS analysis example per subsidiary (Jiffy, SkyCool, CR Service, Gourmet, Ants E-Commerce, Zaap), drawn from the actual sample data reviewed during the sprint.</w:t>
      </w:r>
    </w:p>
    <w:p>
      <w:pPr>
        <w:pStyle w:val="Heading3"/>
      </w:pPr>
      <w:r>
        <w:t>3.5 Feasibility prototype pack (guided recorded demo)</w:t>
      </w:r>
    </w:p>
    <w:p>
      <w:r>
        <w:t xml:space="preserve">A focused, throw-away prototype intended purely to let LDC </w:t>
      </w:r>
      <w:r>
        <w:rPr>
          <w:i/>
        </w:rPr>
        <w:t>see</w:t>
      </w:r>
      <w:r>
        <w:t xml:space="preserve"> the recommended approach working on its own data before any purchase decision:</w:t>
      </w:r>
    </w:p>
    <w:p>
      <w:pPr>
        <w:pStyle w:val="ListBullet"/>
      </w:pPr>
      <w:r>
        <w:rPr>
          <w:b/>
        </w:rPr>
        <w:t>One representative analytical task</w:t>
      </w:r>
      <w:r>
        <w:t xml:space="preserve"> chosen with LDC during Day 1 (e.g., "rank top-10 SKUs by margin contribution across all 33 Jiffy branches for Q1 2026").</w:t>
      </w:r>
    </w:p>
    <w:p>
      <w:pPr>
        <w:pStyle w:val="ListBullet"/>
      </w:pPr>
      <w:r>
        <w:t>The same task executed live and recorded against the recommended cloud and on-premises tool paths.</w:t>
      </w:r>
    </w:p>
    <w:p>
      <w:pPr>
        <w:pStyle w:val="ListBullet"/>
      </w:pPr>
      <w:r>
        <w:rPr>
          <w:b/>
        </w:rPr>
        <w:t>Packaged outputs</w:t>
      </w:r>
      <w:r>
        <w:t xml:space="preserve"> delivered to LDC: the screen-recorded demo (≈10–20 minutes), the working prompts in plain text, and any reusable configuration or scripts produced.</w:t>
      </w:r>
    </w:p>
    <w:p>
      <w:r>
        <w:t xml:space="preserve">This is an evaluation artifact, </w:t>
      </w:r>
      <w:r>
        <w:rPr>
          <w:b/>
        </w:rPr>
        <w:t>not a production deployment</w:t>
      </w:r>
      <w:r>
        <w:t>. It runs on the consultant's hardware during the sprint; LDC does not need to install or host anything. The pack lets LDC re-watch the demo internally, share it with their board, and reproduce the prompts after they've purchased the relevant tools.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Out of Scope</w:t>
      </w:r>
    </w:p>
    <w:p>
      <w:r>
        <w:t xml:space="preserve">To keep the engagement at two days and the fee defensible, the following are explicitly </w:t>
      </w:r>
      <w:r>
        <w:rPr>
          <w:b/>
        </w:rPr>
        <w:t>not</w:t>
      </w:r>
      <w:r>
        <w:t xml:space="preserve"> part of this sprint:</w:t>
      </w:r>
    </w:p>
    <w:p>
      <w:pPr>
        <w:pStyle w:val="ListBullet"/>
      </w:pPr>
      <w:r>
        <w:t>Procurement of any software licences or hardware</w:t>
      </w:r>
    </w:p>
    <w:p>
      <w:pPr>
        <w:pStyle w:val="ListBullet"/>
      </w:pPr>
      <w:r>
        <w:rPr>
          <w:b/>
        </w:rPr>
        <w:t>Production deployment</w:t>
      </w:r>
      <w:r>
        <w:t xml:space="preserve"> of any tools on LDC infrastructure (the prototype pack in 3.5 is a recorded demo from the consultant's workstation, not a system stood up at LDC)</w:t>
      </w:r>
    </w:p>
    <w:p>
      <w:pPr>
        <w:pStyle w:val="ListBullet"/>
      </w:pPr>
      <w:r>
        <w:t>Multi-user access setup, identity provisioning, server hardening, backup, or monitoring</w:t>
      </w:r>
    </w:p>
    <w:p>
      <w:pPr>
        <w:pStyle w:val="ListBullet"/>
      </w:pPr>
      <w:r>
        <w:t>Live training of LDC staff (this is the subsequent two-day workshop)</w:t>
      </w:r>
    </w:p>
    <w:p>
      <w:pPr>
        <w:pStyle w:val="ListBullet"/>
      </w:pPr>
      <w:r>
        <w:t>Custom development against LDC's POS, ERP, or e-commerce systems</w:t>
      </w:r>
    </w:p>
    <w:p>
      <w:pPr>
        <w:pStyle w:val="ListBullet"/>
      </w:pPr>
      <w:r>
        <w:t>Migration of any production data</w:t>
      </w:r>
    </w:p>
    <w:p>
      <w:pPr>
        <w:pStyle w:val="ListBullet"/>
      </w:pPr>
      <w:r>
        <w:t>Integration with Microsoft 365, Google Workspace, or any existing identity provider</w:t>
      </w:r>
    </w:p>
    <w:p>
      <w:r>
        <w:t>These activities are correctly part of the workshop and post-workshop implementation phases, priced separately.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Two-Day Work Plan</w:t>
      </w:r>
    </w:p>
    <w:p>
      <w:r>
        <w:t xml:space="preserve">This engagement is performed </w:t>
      </w:r>
      <w:r>
        <w:rPr>
          <w:b/>
        </w:rPr>
        <w:t>off-site by the consultant</w:t>
      </w:r>
      <w:r>
        <w:t xml:space="preserve"> working independently on the five deliverables. LDC's involvement is limited to a brief written intake at engagement start (sample data, scope confirmation) and a delivery handover when the artifacts are complete. There are no live workshops, kickoff calls, or daily check-ins required during the two working days.</w:t>
      </w:r>
    </w:p>
    <w:p>
      <w:pPr>
        <w:pStyle w:val="Heading3"/>
      </w:pPr>
      <w:r>
        <w:t>Day 1 — Discovery, Analysis &amp; Tool Evaluation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3324"/>
            <w:shd w:val="clear" w:color="auto" w:fill="1F3A5F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24"/>
            <w:shd w:val="clear" w:color="auto" w:fill="1F3A5F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t>Morning</w:t>
            </w:r>
          </w:p>
        </w:tc>
        <w:tc>
          <w:tcPr>
            <w:tcW w:type="dxa" w:w="3324"/>
            <w:vAlign w:val="top"/>
          </w:tcPr>
          <w:p>
            <w:r/>
            <w:r>
              <w:t>Review of LDC sample POS exports and subsidiary datasets — schema, file formats, language mix, data quality</w:t>
            </w:r>
          </w:p>
        </w:tc>
        <w:tc>
          <w:tcPr>
            <w:tcW w:type="dxa" w:w="3324"/>
            <w:vAlign w:val="top"/>
          </w:tcPr>
          <w:p>
            <w:r/>
            <w:r>
              <w:t>POS data inventory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t>Morning</w:t>
            </w:r>
          </w:p>
        </w:tc>
        <w:tc>
          <w:tcPr>
            <w:tcW w:type="dxa" w:w="3324"/>
            <w:vAlign w:val="top"/>
          </w:tcPr>
          <w:p>
            <w:r/>
            <w:r>
              <w:t>Inventory of the top 8–10 analytical questions per subsidiary based on the supplied data and prior LDC research</w:t>
            </w:r>
          </w:p>
        </w:tc>
        <w:tc>
          <w:tcPr>
            <w:tcW w:type="dxa" w:w="3324"/>
            <w:vAlign w:val="top"/>
          </w:tcPr>
          <w:p>
            <w:r/>
            <w:r>
              <w:t>Requirements document draft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t>Afternoon</w:t>
            </w:r>
          </w:p>
        </w:tc>
        <w:tc>
          <w:tcPr>
            <w:tcW w:type="dxa" w:w="3324"/>
            <w:vAlign w:val="top"/>
          </w:tcPr>
          <w:p>
            <w:r/>
            <w:r>
              <w:t>Hands-on tool evaluation — run identical analytical tasks against Claude Co-Work and the recommended on-premises configuration</w:t>
            </w:r>
          </w:p>
        </w:tc>
        <w:tc>
          <w:tcPr>
            <w:tcW w:type="dxa" w:w="3324"/>
            <w:vAlign w:val="top"/>
          </w:tcPr>
          <w:p>
            <w:r/>
            <w:r>
              <w:t>Tool scorecard draft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t>Afternoon</w:t>
            </w:r>
          </w:p>
        </w:tc>
        <w:tc>
          <w:tcPr>
            <w:tcW w:type="dxa" w:w="3324"/>
            <w:vAlign w:val="top"/>
          </w:tcPr>
          <w:p>
            <w:r/>
            <w:r>
              <w:t>Document findings, sovereignty implications, and the analytical task to be recorded for the prototype</w:t>
            </w:r>
          </w:p>
        </w:tc>
        <w:tc>
          <w:tcPr>
            <w:tcW w:type="dxa" w:w="3324"/>
            <w:vAlign w:val="top"/>
          </w:tcPr>
          <w:p>
            <w:r/>
            <w:r>
              <w:t>Day 1 working notes</w:t>
            </w:r>
          </w:p>
        </w:tc>
      </w:tr>
    </w:tbl>
    <w:p/>
    <w:p>
      <w:pPr>
        <w:pStyle w:val="Heading3"/>
      </w:pPr>
      <w:r>
        <w:t>Day 2 — Architecture, Curriculum &amp; Prototype Pack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3324"/>
            <w:shd w:val="clear" w:color="auto" w:fill="1F3A5F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24"/>
            <w:shd w:val="clear" w:color="auto" w:fill="1F3A5F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t>Morning</w:t>
            </w:r>
          </w:p>
        </w:tc>
        <w:tc>
          <w:tcPr>
            <w:tcW w:type="dxa" w:w="3324"/>
            <w:vAlign w:val="top"/>
          </w:tcPr>
          <w:p>
            <w:r/>
            <w:r>
              <w:t>Two-lane architecture design — classification policy, hardware sizing, identity/audit plan, shadow-AI control list</w:t>
            </w:r>
          </w:p>
        </w:tc>
        <w:tc>
          <w:tcPr>
            <w:tcW w:type="dxa" w:w="3324"/>
            <w:vAlign w:val="top"/>
          </w:tcPr>
          <w:p>
            <w:r/>
            <w:r>
              <w:t>10-user deployment plan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t>Afternoon</w:t>
            </w:r>
          </w:p>
        </w:tc>
        <w:tc>
          <w:tcPr>
            <w:tcW w:type="dxa" w:w="3324"/>
            <w:vAlign w:val="top"/>
          </w:tcPr>
          <w:p>
            <w:r/>
            <w:r>
              <w:t>POS-grounded curriculum re-write — module-by-module mapping to LDC datasets, plus the AI Data Governance module fully written</w:t>
            </w:r>
          </w:p>
        </w:tc>
        <w:tc>
          <w:tcPr>
            <w:tcW w:type="dxa" w:w="3324"/>
            <w:vAlign w:val="top"/>
          </w:tcPr>
          <w:p>
            <w:r/>
            <w:r>
              <w:t>Curriculum outline v2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t>Afternoon</w:t>
            </w:r>
          </w:p>
        </w:tc>
        <w:tc>
          <w:tcPr>
            <w:tcW w:type="dxa" w:w="3324"/>
            <w:vAlign w:val="top"/>
          </w:tcPr>
          <w:p>
            <w:r/>
            <w:r>
              <w:t>Record the prototype pack — chosen analytical task on LDC sample data; package recording, prompts, and supporting files</w:t>
            </w:r>
          </w:p>
        </w:tc>
        <w:tc>
          <w:tcPr>
            <w:tcW w:type="dxa" w:w="3324"/>
            <w:vAlign w:val="top"/>
          </w:tcPr>
          <w:p>
            <w:r/>
            <w:r>
              <w:t>Prototype pack (video + files)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t>End of day</w:t>
            </w:r>
          </w:p>
        </w:tc>
        <w:tc>
          <w:tcPr>
            <w:tcW w:type="dxa" w:w="3324"/>
            <w:vAlign w:val="top"/>
          </w:tcPr>
          <w:p>
            <w:r/>
            <w:r>
              <w:t>Final write-up and packaging of all five deliverables</w:t>
            </w:r>
          </w:p>
        </w:tc>
        <w:tc>
          <w:tcPr>
            <w:tcW w:type="dxa" w:w="3324"/>
            <w:vAlign w:val="top"/>
          </w:tcPr>
          <w:p>
            <w:r/>
            <w:r>
              <w:t>Deliverables packaged for handover</w:t>
            </w:r>
          </w:p>
        </w:tc>
      </w:tr>
    </w:tbl>
    <w:p/>
    <w:p>
      <w:r>
        <w:rPr>
          <w:b/>
        </w:rPr>
        <w:t>Delivery handover:</w:t>
      </w:r>
      <w:r>
        <w:t xml:space="preserve"> the complete artifact bundle is sent to LDC by email or secure file transfer at the end of Day 2, with a single optional follow-up call (up to 60 minutes) to walk through the documents and play the prototype recording for LDC's executive sponsor and IT lead. The follow-up call is included in the fee and can be scheduled at LDC's convenience within 14 days of delivery.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Deliverables</w:t>
      </w:r>
    </w:p>
    <w:p>
      <w:r>
        <w:t>At the end of Day 2, LDC receives the following, in English (Lao or Thai translation available on request at additional cost):</w:t>
      </w:r>
    </w:p>
    <w:p>
      <w:pPr>
        <w:pStyle w:val="ListNumber"/>
      </w:pPr>
      <w:r>
        <w:rPr>
          <w:b/>
        </w:rPr>
        <w:t>POS Data Analysis Requirements Document</w:t>
      </w:r>
      <w:r>
        <w:t xml:space="preserve"> — schemas, sources, languages, data quality findings, and the prioritised list of 8–10 analytical questions per subsidiary.</w:t>
      </w:r>
    </w:p>
    <w:p>
      <w:pPr>
        <w:pStyle w:val="ListNumber"/>
      </w:pPr>
      <w:r>
        <w:rPr>
          <w:b/>
        </w:rPr>
        <w:t>Tool Stack Evaluation Report</w:t>
      </w:r>
      <w:r>
        <w:t xml:space="preserve"> — Claude Co-Work compared with the recommended on-premises configuration, scored on LDC's own sample data with explicit recommendations per use case.</w:t>
      </w:r>
    </w:p>
    <w:p>
      <w:pPr>
        <w:pStyle w:val="ListNumber"/>
      </w:pPr>
      <w:r>
        <w:rPr>
          <w:b/>
        </w:rPr>
        <w:t>Secure 10-User Deployment Plan</w:t>
      </w:r>
      <w:r>
        <w:t xml:space="preserve"> — two-lane architecture, hardware sizing, identity/audit/governance plan, total cost of ownership for Year 1 and Year 2+, and a prioritised shadow-AI control list.</w:t>
      </w:r>
    </w:p>
    <w:p>
      <w:pPr>
        <w:pStyle w:val="ListNumber"/>
      </w:pPr>
      <w:r>
        <w:rPr>
          <w:b/>
        </w:rPr>
        <w:t>POS-Grounded Workshop Curriculum Outline</w:t>
      </w:r>
      <w:r>
        <w:t xml:space="preserve"> — module-by-module mapping to LDC datasets, with the AI Data Governance module fully written.</w:t>
      </w:r>
    </w:p>
    <w:p>
      <w:pPr>
        <w:pStyle w:val="ListNumber"/>
      </w:pPr>
      <w:r>
        <w:rPr>
          <w:b/>
        </w:rPr>
        <w:t>Feasibility Prototype Pack</w:t>
      </w:r>
      <w:r>
        <w:t xml:space="preserve"> — recorded guided demo (video file, ≈10–20 min) of the chosen analytical task running across the recommended tool paths on LDC sample data, plus working prompts and supporting configuration files. Reproducible by LDC after their own tool purchase.</w:t>
      </w:r>
    </w:p>
    <w:p>
      <w:r>
        <w:t>Documents 1–4 are delivered as Markdown and PDF; Deliverable 5 is delivered as MP4 plus a folder of text/config files. LDC owns all deliverables and may use, modify, or share them internally without restriction.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Investment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val="clear" w:color="auto" w:fill="1F3A5F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Amount (THB)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t>Two-day discovery &amp; architecture consulting (fixed fee)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/>
              </w:rPr>
              <w:t>50,000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t>Travel, accommodation, on-site delivery in Vientiane (optional)</w:t>
            </w:r>
          </w:p>
        </w:tc>
        <w:tc>
          <w:tcPr>
            <w:tcW w:type="dxa" w:w="4986"/>
            <w:vAlign w:val="top"/>
          </w:tcPr>
          <w:p>
            <w:r/>
            <w:r>
              <w:t>At cost, billed separately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t>Lao or Thai translation of deliverables (optional)</w:t>
            </w:r>
          </w:p>
        </w:tc>
        <w:tc>
          <w:tcPr>
            <w:tcW w:type="dxa" w:w="4986"/>
            <w:vAlign w:val="top"/>
          </w:tcPr>
          <w:p>
            <w:r/>
            <w:r>
              <w:t>Quoted on request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/>
              </w:rPr>
              <w:t>Total payable for the sprint as proposed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/>
              </w:rPr>
              <w:t>THB 50,000</w:t>
            </w:r>
          </w:p>
        </w:tc>
      </w:tr>
    </w:tbl>
    <w:p/>
    <w:p>
      <w:r>
        <w:rPr>
          <w:b/>
        </w:rPr>
        <w:t>Payment terms:</w:t>
      </w:r>
    </w:p>
    <w:p>
      <w:pPr>
        <w:pStyle w:val="ListBullet"/>
      </w:pPr>
      <w:r>
        <w:t>50% on engagement start (deposit)</w:t>
      </w:r>
    </w:p>
    <w:p>
      <w:pPr>
        <w:pStyle w:val="ListBullet"/>
      </w:pPr>
      <w:r>
        <w:t>50% on delivery of the five artifacts in Section 6</w:t>
      </w:r>
    </w:p>
    <w:p>
      <w:pPr>
        <w:pStyle w:val="ListBullet"/>
      </w:pPr>
      <w:r>
        <w:t>Invoiced in Thai Baht; bank transfer to QUEST EDTECH</w:t>
      </w:r>
    </w:p>
    <w:p>
      <w:r>
        <w:rPr>
          <w:b/>
        </w:rPr>
        <w:t>This sprint credits 100% against the subsequent workshop fee</w:t>
      </w:r>
      <w:r>
        <w:t xml:space="preserve"> if LDC commissions the two-day Claude Co-Work workshop (separately proposed) within 60 days of sprint completion. In that case the THB 50,000 is treated as a deposit against the workshop, not an additional charge.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Why This Engagement Is Worth THB 50,000</w:t>
      </w:r>
    </w:p>
    <w:p>
      <w:r>
        <w:t>The fee is justified by what LDC avoids spending elsewhere:</w:t>
      </w:r>
    </w:p>
    <w:p>
      <w:pPr>
        <w:pStyle w:val="ListBullet"/>
      </w:pPr>
      <w:r>
        <w:rPr>
          <w:b/>
        </w:rPr>
        <w:t>Avoided over-purchase risk.</w:t>
      </w:r>
      <w:r>
        <w:t xml:space="preserve"> A 50-seat enterprise AI commitment without scoping is roughly THB 540,000 / year. A wrong-shaped 10-user pilot is far cheaper to fix in writing than after deployment.</w:t>
      </w:r>
    </w:p>
    <w:p>
      <w:pPr>
        <w:pStyle w:val="ListBullet"/>
      </w:pPr>
      <w:r>
        <w:rPr>
          <w:b/>
        </w:rPr>
        <w:t>Avoided shadow-AI breach.</w:t>
      </w:r>
      <w:r>
        <w:t xml:space="preserve"> A single confidential supplier or margin file pasted into a consumer AI site can be retained and used for training under those vendors' terms; the deployment plan and governance policy specifically prevent this.</w:t>
      </w:r>
    </w:p>
    <w:p>
      <w:pPr>
        <w:pStyle w:val="ListBullet"/>
      </w:pPr>
      <w:r>
        <w:rPr>
          <w:b/>
        </w:rPr>
        <w:t>Avoided generic-workshop disappointment.</w:t>
      </w:r>
      <w:r>
        <w:t xml:space="preserve"> A workshop run on stock retail examples wastes two days of 10 staff (≈ 160 person-hours). POS-grounded curriculum captures the value LDC is actually paying for.</w:t>
      </w:r>
    </w:p>
    <w:p>
      <w:pPr>
        <w:pStyle w:val="ListBullet"/>
      </w:pPr>
      <w:r>
        <w:rPr>
          <w:b/>
        </w:rPr>
        <w:t>Decision artefact for the board.</w:t>
      </w:r>
      <w:r>
        <w:t xml:space="preserve"> The five deliverables together — including the recorded prototype showing the recommended tools running on LDC's own data — form a board-presentable case for AI investment, with sovereignty addressed architecturally rather than rhetorically.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Acceptance &amp; Next Steps</w:t>
      </w:r>
    </w:p>
    <w:p>
      <w:r>
        <w:t>To start this engagement, LDC needs to:</w:t>
      </w:r>
    </w:p>
    <w:p>
      <w:pPr>
        <w:pStyle w:val="ListNumber"/>
      </w:pPr>
      <w:r>
        <w:rPr>
          <w:b/>
        </w:rPr>
        <w:t>Confirm scope</w:t>
      </w:r>
      <w:r>
        <w:t xml:space="preserve"> — sign off on the subsidiaries (default: Jiffy + SkyCool + Gourmet) and analytical questions to be in scope.</w:t>
      </w:r>
    </w:p>
    <w:p>
      <w:pPr>
        <w:pStyle w:val="ListNumber"/>
      </w:pPr>
      <w:r>
        <w:rPr>
          <w:b/>
        </w:rPr>
        <w:t>Provide sample data</w:t>
      </w:r>
      <w:r>
        <w:t xml:space="preserve"> — anonymised POS exports and one representative dataset each from the two subsidiaries selected, plus one slightly larger sample for the prototype recording (a single Jiffy multi-branch POS file is sufficient). NDA available on request.</w:t>
      </w:r>
    </w:p>
    <w:p>
      <w:pPr>
        <w:pStyle w:val="ListNumber"/>
      </w:pPr>
      <w:r>
        <w:rPr>
          <w:b/>
        </w:rPr>
        <w:t>Nominate participants</w:t>
      </w:r>
      <w:r>
        <w:t xml:space="preserve"> — one operations lead, one finance/analytics lead, one IT lead for Day 1 kickoff and Day 2 closing.</w:t>
      </w:r>
    </w:p>
    <w:p>
      <w:pPr>
        <w:pStyle w:val="ListNumber"/>
      </w:pPr>
      <w:r>
        <w:rPr>
          <w:b/>
        </w:rPr>
        <w:t>Confirm delivery mode</w:t>
      </w:r>
      <w:r>
        <w:t xml:space="preserve"> — remote (default) or on-site Vientiane.</w:t>
      </w:r>
    </w:p>
    <w:p>
      <w:pPr>
        <w:pStyle w:val="ListNumber"/>
      </w:pPr>
      <w:r>
        <w:rPr>
          <w:b/>
        </w:rPr>
        <w:t>Sign and return this proposal</w:t>
      </w:r>
      <w:r>
        <w:t xml:space="preserve"> with the deposit invoice acknowledged.</w:t>
      </w:r>
    </w:p>
    <w:p>
      <w:r>
        <w:t>Target start: within 2 weeks of acceptance. Target completion: within 5 working days of start.</w:t>
      </w:r>
    </w:p>
    <w:p>
      <w:pPr>
        <w:pBdr>
          <w:bottom w:val="single" w:sz="6" w:space="1" w:color="999999"/>
        </w:pBdr>
      </w:pPr>
    </w:p>
    <w:p>
      <w:r>
        <w:rPr>
          <w:b/>
        </w:rPr>
        <w:t>Contact</w:t>
      </w:r>
    </w:p>
    <w:p>
      <w:r>
        <w:t>Kirk Pathumanun — QUEST EDTECH</w:t>
      </w:r>
    </w:p>
    <w:p>
      <w:r>
        <w:t>kirk@edknovate.com</w:t>
      </w:r>
    </w:p>
    <w:p>
      <w:r>
        <w:rPr>
          <w:i/>
        </w:rPr>
        <w:t>This proposal is valid for 30 days from the date above.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