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i w:val="0"/>
          <w:color w:val="1B2A4A"/>
          <w:sz w:val="52"/>
        </w:rPr>
        <w:t>GYMTRACE</w:t>
      </w:r>
    </w:p>
    <w:p>
      <w:pPr>
        <w:spacing w:before="0" w:after="80"/>
      </w:pPr>
      <w:r>
        <w:rPr>
          <w:rFonts w:ascii="Calibri" w:hAnsi="Calibri"/>
          <w:b/>
          <w:i w:val="0"/>
          <w:color w:val="3D5A1F"/>
          <w:sz w:val="32"/>
        </w:rPr>
        <w:t>Software Quality Assurance Questionnaire</w:t>
      </w:r>
    </w:p>
    <w:p>
      <w:pPr>
        <w:spacing w:before="0" w:after="120" w:line="259" w:lineRule="auto"/>
      </w:pPr>
      <w:r>
        <w:rPr>
          <w:rFonts w:ascii="Calibri" w:hAnsi="Calibri"/>
          <w:b w:val="0"/>
          <w:i w:val="0"/>
          <w:sz w:val="22"/>
        </w:rPr>
        <w:t>Adopted from the ISO/IEC 25010:2011 product quality model and quality-in-use model, inside the ISO/IEC 25000 SQuaRE series. Adapted for the Bajada branch of Peakline Gym.</w:t>
      </w:r>
    </w:p>
    <w:tbl>
      <w:tblPr>
        <w:tblStyle w:val="TableGrid"/>
        <w:tblW w:type="auto" w:w="0"/>
        <w:tblLook w:firstColumn="1" w:firstRow="1" w:lastColumn="0" w:lastRow="0" w:noHBand="0" w:noVBand="1" w:val="04A0"/>
      </w:tblPr>
      <w:tblGrid>
        <w:gridCol w:w="5326"/>
        <w:gridCol w:w="5326"/>
      </w:tblGrid>
      <w:tr>
        <w:tc>
          <w:tcPr>
            <w:tcW w:type="dxa" w:w="5326"/>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Field</w:t>
            </w:r>
          </w:p>
        </w:tc>
        <w:tc>
          <w:tcPr>
            <w:tcW w:type="dxa" w:w="5326"/>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Detail</w:t>
            </w:r>
          </w:p>
        </w:tc>
      </w:tr>
      <w:tr>
        <w:tc>
          <w:tcPr>
            <w:tcW w:type="dxa" w:w="5326"/>
            <w:shd w:fill="F4F7F2" w:val="clear"/>
            <w:tcMar>
              <w:top w:w="50" w:type="dxa"/>
              <w:left w:w="50" w:type="dxa"/>
              <w:bottom w:w="50" w:type="dxa"/>
              <w:right w:w="50" w:type="dxa"/>
            </w:tcMar>
          </w:tcPr>
          <w:p>
            <w:pPr>
              <w:spacing w:before="20" w:after="20"/>
            </w:pPr>
            <w:r/>
            <w:r>
              <w:rPr>
                <w:rFonts w:ascii="Calibri" w:hAnsi="Calibri"/>
                <w:b w:val="0"/>
                <w:i w:val="0"/>
                <w:color w:val="333A45"/>
                <w:sz w:val="16"/>
              </w:rPr>
              <w:t>System under evaluation</w:t>
            </w:r>
          </w:p>
        </w:tc>
        <w:tc>
          <w:tcPr>
            <w:tcW w:type="dxa" w:w="5326"/>
            <w:shd w:fill="F4F7F2" w:val="clear"/>
            <w:tcMar>
              <w:top w:w="50" w:type="dxa"/>
              <w:left w:w="50" w:type="dxa"/>
              <w:bottom w:w="50" w:type="dxa"/>
              <w:right w:w="50" w:type="dxa"/>
            </w:tcMar>
          </w:tcPr>
          <w:p>
            <w:pPr>
              <w:spacing w:before="20" w:after="20"/>
            </w:pPr>
            <w:r/>
            <w:r>
              <w:rPr>
                <w:rFonts w:ascii="Calibri" w:hAnsi="Calibri"/>
                <w:b w:val="0"/>
                <w:i w:val="0"/>
                <w:color w:val="333A45"/>
                <w:sz w:val="16"/>
              </w:rPr>
              <w:t>GYMTRACE 0.1.0 — face check-in, day pass, occupancy forecast, staff and admin consoles</w:t>
            </w:r>
          </w:p>
        </w:tc>
      </w:tr>
      <w:tr>
        <w:tc>
          <w:tcPr>
            <w:tcW w:type="dxa" w:w="5326"/>
            <w:shd w:fill="FFFFFF" w:val="clear"/>
            <w:tcMar>
              <w:top w:w="50" w:type="dxa"/>
              <w:left w:w="50" w:type="dxa"/>
              <w:bottom w:w="50" w:type="dxa"/>
              <w:right w:w="50" w:type="dxa"/>
            </w:tcMar>
          </w:tcPr>
          <w:p>
            <w:pPr>
              <w:spacing w:before="20" w:after="20"/>
            </w:pPr>
            <w:r/>
            <w:r>
              <w:rPr>
                <w:rFonts w:ascii="Calibri" w:hAnsi="Calibri"/>
                <w:b w:val="0"/>
                <w:i w:val="0"/>
                <w:color w:val="333A45"/>
                <w:sz w:val="16"/>
              </w:rPr>
              <w:t>Client and place of use</w:t>
            </w:r>
          </w:p>
        </w:tc>
        <w:tc>
          <w:tcPr>
            <w:tcW w:type="dxa" w:w="5326"/>
            <w:shd w:fill="FFFFFF" w:val="clear"/>
            <w:tcMar>
              <w:top w:w="50" w:type="dxa"/>
              <w:left w:w="50" w:type="dxa"/>
              <w:bottom w:w="50" w:type="dxa"/>
              <w:right w:w="50" w:type="dxa"/>
            </w:tcMar>
          </w:tcPr>
          <w:p>
            <w:pPr>
              <w:spacing w:before="20" w:after="20"/>
            </w:pPr>
            <w:r/>
            <w:r>
              <w:rPr>
                <w:rFonts w:ascii="Calibri" w:hAnsi="Calibri"/>
                <w:b w:val="0"/>
                <w:i w:val="0"/>
                <w:color w:val="333A45"/>
                <w:sz w:val="16"/>
              </w:rPr>
              <w:t>Peakline Fitness Davao, Inc., Peakline Gym, 2/F Doña Rosa Building, J.P. Laurel Avenue, Bajada, Davao City</w:t>
            </w:r>
          </w:p>
        </w:tc>
      </w:tr>
      <w:tr>
        <w:tc>
          <w:tcPr>
            <w:tcW w:type="dxa" w:w="5326"/>
            <w:shd w:fill="F4F7F2" w:val="clear"/>
            <w:tcMar>
              <w:top w:w="50" w:type="dxa"/>
              <w:left w:w="50" w:type="dxa"/>
              <w:bottom w:w="50" w:type="dxa"/>
              <w:right w:w="50" w:type="dxa"/>
            </w:tcMar>
          </w:tcPr>
          <w:p>
            <w:pPr>
              <w:spacing w:before="20" w:after="20"/>
            </w:pPr>
            <w:r/>
            <w:r>
              <w:rPr>
                <w:rFonts w:ascii="Calibri" w:hAnsi="Calibri"/>
                <w:b w:val="0"/>
                <w:i w:val="0"/>
                <w:color w:val="333A45"/>
                <w:sz w:val="16"/>
              </w:rPr>
              <w:t>Standard adopted</w:t>
            </w:r>
          </w:p>
        </w:tc>
        <w:tc>
          <w:tcPr>
            <w:tcW w:type="dxa" w:w="5326"/>
            <w:shd w:fill="F4F7F2" w:val="clear"/>
            <w:tcMar>
              <w:top w:w="50" w:type="dxa"/>
              <w:left w:w="50" w:type="dxa"/>
              <w:bottom w:w="50" w:type="dxa"/>
              <w:right w:w="50" w:type="dxa"/>
            </w:tcMar>
          </w:tcPr>
          <w:p>
            <w:pPr>
              <w:spacing w:before="20" w:after="20"/>
            </w:pPr>
            <w:r/>
            <w:r>
              <w:rPr>
                <w:rFonts w:ascii="Calibri" w:hAnsi="Calibri"/>
                <w:b w:val="0"/>
                <w:i w:val="0"/>
                <w:color w:val="333A45"/>
                <w:sz w:val="16"/>
              </w:rPr>
              <w:t>ISO/IEC 25010:2011, clauses 4.1 and 4.2, as the questionnaire structure</w:t>
            </w:r>
          </w:p>
        </w:tc>
      </w:tr>
      <w:tr>
        <w:tc>
          <w:tcPr>
            <w:tcW w:type="dxa" w:w="5326"/>
            <w:shd w:fill="FFFFFF" w:val="clear"/>
            <w:tcMar>
              <w:top w:w="50" w:type="dxa"/>
              <w:left w:w="50" w:type="dxa"/>
              <w:bottom w:w="50" w:type="dxa"/>
              <w:right w:w="50" w:type="dxa"/>
            </w:tcMar>
          </w:tcPr>
          <w:p>
            <w:pPr>
              <w:spacing w:before="20" w:after="20"/>
            </w:pPr>
            <w:r/>
            <w:r>
              <w:rPr>
                <w:rFonts w:ascii="Calibri" w:hAnsi="Calibri"/>
                <w:b w:val="0"/>
                <w:i w:val="0"/>
                <w:color w:val="333A45"/>
                <w:sz w:val="16"/>
              </w:rPr>
              <w:t>Series guide</w:t>
            </w:r>
          </w:p>
        </w:tc>
        <w:tc>
          <w:tcPr>
            <w:tcW w:type="dxa" w:w="5326"/>
            <w:shd w:fill="FFFFFF" w:val="clear"/>
            <w:tcMar>
              <w:top w:w="50" w:type="dxa"/>
              <w:left w:w="50" w:type="dxa"/>
              <w:bottom w:w="50" w:type="dxa"/>
              <w:right w:w="50" w:type="dxa"/>
            </w:tcMar>
          </w:tcPr>
          <w:p>
            <w:pPr>
              <w:spacing w:before="20" w:after="20"/>
            </w:pPr>
            <w:r/>
            <w:r>
              <w:rPr>
                <w:rFonts w:ascii="Calibri" w:hAnsi="Calibri"/>
                <w:b w:val="0"/>
                <w:i w:val="0"/>
                <w:color w:val="333A45"/>
                <w:sz w:val="16"/>
              </w:rPr>
              <w:t>ISO/IEC 25000:2014, Guide to SQuaRE</w:t>
            </w:r>
          </w:p>
        </w:tc>
      </w:tr>
      <w:tr>
        <w:tc>
          <w:tcPr>
            <w:tcW w:type="dxa" w:w="5326"/>
            <w:shd w:fill="F4F7F2" w:val="clear"/>
            <w:tcMar>
              <w:top w:w="50" w:type="dxa"/>
              <w:left w:w="50" w:type="dxa"/>
              <w:bottom w:w="50" w:type="dxa"/>
              <w:right w:w="50" w:type="dxa"/>
            </w:tcMar>
          </w:tcPr>
          <w:p>
            <w:pPr>
              <w:spacing w:before="20" w:after="20"/>
            </w:pPr>
            <w:r/>
            <w:r>
              <w:rPr>
                <w:rFonts w:ascii="Calibri" w:hAnsi="Calibri"/>
                <w:b w:val="0"/>
                <w:i w:val="0"/>
                <w:color w:val="333A45"/>
                <w:sz w:val="16"/>
              </w:rPr>
              <w:t>Evaluation process</w:t>
            </w:r>
          </w:p>
        </w:tc>
        <w:tc>
          <w:tcPr>
            <w:tcW w:type="dxa" w:w="5326"/>
            <w:shd w:fill="F4F7F2" w:val="clear"/>
            <w:tcMar>
              <w:top w:w="50" w:type="dxa"/>
              <w:left w:w="50" w:type="dxa"/>
              <w:bottom w:w="50" w:type="dxa"/>
              <w:right w:w="50" w:type="dxa"/>
            </w:tcMar>
          </w:tcPr>
          <w:p>
            <w:pPr>
              <w:spacing w:before="20" w:after="20"/>
            </w:pPr>
            <w:r/>
            <w:r>
              <w:rPr>
                <w:rFonts w:ascii="Calibri" w:hAnsi="Calibri"/>
                <w:b w:val="0"/>
                <w:i w:val="0"/>
                <w:color w:val="333A45"/>
                <w:sz w:val="16"/>
              </w:rPr>
              <w:t>ISO/IEC 25040:2011 — this form is the instrument for the evaluation</w:t>
            </w:r>
          </w:p>
        </w:tc>
      </w:tr>
      <w:tr>
        <w:tc>
          <w:tcPr>
            <w:tcW w:type="dxa" w:w="5326"/>
            <w:shd w:fill="FFFFFF" w:val="clear"/>
            <w:tcMar>
              <w:top w:w="50" w:type="dxa"/>
              <w:left w:w="50" w:type="dxa"/>
              <w:bottom w:w="50" w:type="dxa"/>
              <w:right w:w="50" w:type="dxa"/>
            </w:tcMar>
          </w:tcPr>
          <w:p>
            <w:pPr>
              <w:spacing w:before="20" w:after="20"/>
            </w:pPr>
            <w:r/>
            <w:r>
              <w:rPr>
                <w:rFonts w:ascii="Calibri" w:hAnsi="Calibri"/>
                <w:b w:val="0"/>
                <w:i w:val="0"/>
                <w:color w:val="333A45"/>
                <w:sz w:val="16"/>
              </w:rPr>
              <w:t>Instrument status</w:t>
            </w:r>
          </w:p>
        </w:tc>
        <w:tc>
          <w:tcPr>
            <w:tcW w:type="dxa" w:w="5326"/>
            <w:shd w:fill="FFFFFF" w:val="clear"/>
            <w:tcMar>
              <w:top w:w="50" w:type="dxa"/>
              <w:left w:w="50" w:type="dxa"/>
              <w:bottom w:w="50" w:type="dxa"/>
              <w:right w:w="50" w:type="dxa"/>
            </w:tcMar>
          </w:tcPr>
          <w:p>
            <w:pPr>
              <w:spacing w:before="20" w:after="20"/>
            </w:pPr>
            <w:r/>
            <w:r>
              <w:rPr>
                <w:rFonts w:ascii="Calibri" w:hAnsi="Calibri"/>
                <w:b w:val="0"/>
                <w:i w:val="0"/>
                <w:color w:val="333A45"/>
                <w:sz w:val="16"/>
              </w:rPr>
              <w:t>Content-validated on 27 October 2026. Reliability is computed after responses are collected.</w:t>
            </w:r>
          </w:p>
        </w:tc>
      </w:tr>
      <w:tr>
        <w:tc>
          <w:tcPr>
            <w:tcW w:type="dxa" w:w="5326"/>
            <w:shd w:fill="F4F7F2" w:val="clear"/>
            <w:tcMar>
              <w:top w:w="50" w:type="dxa"/>
              <w:left w:w="50" w:type="dxa"/>
              <w:bottom w:w="50" w:type="dxa"/>
              <w:right w:w="50" w:type="dxa"/>
            </w:tcMar>
          </w:tcPr>
          <w:p>
            <w:pPr>
              <w:spacing w:before="20" w:after="20"/>
            </w:pPr>
            <w:r/>
            <w:r>
              <w:rPr>
                <w:rFonts w:ascii="Calibri" w:hAnsi="Calibri"/>
                <w:b w:val="0"/>
                <w:i w:val="0"/>
                <w:color w:val="333A45"/>
                <w:sz w:val="16"/>
              </w:rPr>
              <w:t>Document location</w:t>
            </w:r>
          </w:p>
        </w:tc>
        <w:tc>
          <w:tcPr>
            <w:tcW w:type="dxa" w:w="5326"/>
            <w:shd w:fill="F4F7F2" w:val="clear"/>
            <w:tcMar>
              <w:top w:w="50" w:type="dxa"/>
              <w:left w:w="50" w:type="dxa"/>
              <w:bottom w:w="50" w:type="dxa"/>
              <w:right w:w="50" w:type="dxa"/>
            </w:tcMar>
          </w:tcPr>
          <w:p>
            <w:pPr>
              <w:spacing w:before="20" w:after="20"/>
            </w:pPr>
            <w:r/>
            <w:r>
              <w:rPr>
                <w:rFonts w:ascii="Calibri" w:hAnsi="Calibri"/>
                <w:b w:val="0"/>
                <w:i w:val="0"/>
                <w:color w:val="333A45"/>
                <w:sz w:val="16"/>
              </w:rPr>
              <w:t>docs/GYMTRACE_ISO25010_SQA_Questionnaire.docx</w:t>
            </w:r>
          </w:p>
        </w:tc>
      </w:tr>
    </w:tbl>
    <w:p>
      <w:pPr>
        <w:spacing w:after="80"/>
      </w:pPr>
    </w:p>
    <w:p>
      <w:pPr>
        <w:pStyle w:val="Heading1"/>
      </w:pPr>
      <w:r>
        <w:rPr>
          <w:rFonts w:ascii="Calibri" w:hAnsi="Calibri"/>
          <w:color w:val="1B2A4A"/>
        </w:rPr>
        <w:t>1. What was adopted</w:t>
      </w:r>
    </w:p>
    <w:p>
      <w:pPr>
        <w:spacing w:before="0" w:after="120" w:line="259" w:lineRule="auto"/>
      </w:pPr>
      <w:r>
        <w:rPr>
          <w:rFonts w:ascii="Calibri" w:hAnsi="Calibri"/>
          <w:b w:val="0"/>
          <w:i w:val="0"/>
          <w:sz w:val="22"/>
        </w:rPr>
        <w:t>This questionnaire adopts the system and software quality models in ISO/IEC 25010:2011, which belongs to the Quality Model division of the ISO/IEC 25000 SQuaRE series (ISO/IEC 25000:2014). The standard is used as the item bank. Each product-quality subcharacteristic in clause 4.2 becomes one statement, and each quality-in-use characteristic or subcharacteristic in clause 4.1 becomes one statement. No characteristic was dropped, and no extra quality characteristic was added.</w:t>
      </w:r>
    </w:p>
    <w:p>
      <w:pPr>
        <w:spacing w:before="0" w:after="120" w:line="259" w:lineRule="auto"/>
      </w:pPr>
      <w:r>
        <w:rPr>
          <w:rFonts w:ascii="Calibri" w:hAnsi="Calibri"/>
          <w:b w:val="0"/>
          <w:i w:val="0"/>
          <w:sz w:val="22"/>
        </w:rPr>
        <w:t>The statements were then rewritten for GYMTRACE at Peakline Gym Bajada: face check-in, membership status, the day pass, the crowd forecast, and the staff and admin consoles. The meaning of each item stays the meaning given in ISO/IEC 25010:2011. Only the example of use changed.</w:t>
      </w:r>
    </w:p>
    <w:p>
      <w:pPr>
        <w:spacing w:before="0" w:after="120" w:line="259" w:lineRule="auto"/>
      </w:pPr>
      <w:r>
        <w:rPr>
          <w:rFonts w:ascii="Calibri" w:hAnsi="Calibri"/>
          <w:b w:val="0"/>
          <w:i/>
          <w:sz w:val="20"/>
        </w:rPr>
        <w:t>ISO/IEC 25010:2011 has since been revised. ISO/IEC 25010:2023 is now the product quality model and defines nine characteristics. Quality in use is specified separately in ISO/IEC 25019:2023. Those two documents, together with ISO/IEC 25002, cancel and replace the 2011 edition. This form keeps the 2011 names because that is the edition the instrument adopts. A later evaluation should remap the items before it claims conformance to the 2023 edition.</w:t>
      </w:r>
    </w:p>
    <w:p>
      <w:pPr>
        <w:pStyle w:val="Heading1"/>
      </w:pPr>
      <w:r>
        <w:rPr>
          <w:rFonts w:ascii="Calibri" w:hAnsi="Calibri"/>
          <w:color w:val="1B2A4A"/>
        </w:rPr>
        <w:t>2. Who answers</w:t>
      </w:r>
    </w:p>
    <w:p>
      <w:pPr>
        <w:spacing w:before="0" w:after="120" w:line="259" w:lineRule="auto"/>
      </w:pPr>
      <w:r>
        <w:rPr>
          <w:rFonts w:ascii="Calibri" w:hAnsi="Calibri"/>
          <w:b w:val="0"/>
          <w:i w:val="0"/>
          <w:sz w:val="22"/>
        </w:rPr>
        <w:t>Mark one role. Answer every item labeled All. Answer Tech items only if your role is Front desk, Coach, Administrator, or Technical evaluator. Members and day-pass guests leave Tech items blank.</w:t>
      </w:r>
    </w:p>
    <w:tbl>
      <w:tblPr>
        <w:tblStyle w:val="TableGrid"/>
        <w:tblW w:type="auto" w:w="0"/>
        <w:tblLook w:firstColumn="1" w:firstRow="1" w:lastColumn="0" w:lastRow="0" w:noHBand="0" w:noVBand="1" w:val="04A0"/>
      </w:tblPr>
      <w:tblGrid>
        <w:gridCol w:w="3551"/>
        <w:gridCol w:w="3551"/>
        <w:gridCol w:w="3551"/>
      </w:tblGrid>
      <w:tr>
        <w:tc>
          <w:tcPr>
            <w:tcW w:type="dxa" w:w="3551"/>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Role</w:t>
            </w:r>
          </w:p>
        </w:tc>
        <w:tc>
          <w:tcPr>
            <w:tcW w:type="dxa" w:w="3551"/>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Part A items</w:t>
            </w:r>
          </w:p>
        </w:tc>
        <w:tc>
          <w:tcPr>
            <w:tcW w:type="dxa" w:w="3551"/>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Part B</w:t>
            </w:r>
          </w:p>
        </w:tc>
      </w:tr>
      <w:tr>
        <w:tc>
          <w:tcPr>
            <w:tcW w:type="dxa" w:w="3551"/>
            <w:shd w:fill="F4F7F2" w:val="clear"/>
            <w:tcMar>
              <w:top w:w="50" w:type="dxa"/>
              <w:left w:w="50" w:type="dxa"/>
              <w:bottom w:w="50" w:type="dxa"/>
              <w:right w:w="50" w:type="dxa"/>
            </w:tcMar>
          </w:tcPr>
          <w:p>
            <w:pPr>
              <w:spacing w:before="20" w:after="20"/>
            </w:pPr>
            <w:r/>
            <w:r>
              <w:rPr>
                <w:rFonts w:ascii="Calibri" w:hAnsi="Calibri"/>
                <w:b w:val="0"/>
                <w:i w:val="0"/>
                <w:color w:val="333A45"/>
                <w:sz w:val="16"/>
              </w:rPr>
              <w:t>Member</w:t>
            </w:r>
          </w:p>
        </w:tc>
        <w:tc>
          <w:tcPr>
            <w:tcW w:type="dxa" w:w="3551"/>
            <w:shd w:fill="F4F7F2" w:val="clear"/>
            <w:tcMar>
              <w:top w:w="50" w:type="dxa"/>
              <w:left w:w="50" w:type="dxa"/>
              <w:bottom w:w="50" w:type="dxa"/>
              <w:right w:w="50" w:type="dxa"/>
            </w:tcMar>
          </w:tcPr>
          <w:p>
            <w:pPr>
              <w:spacing w:before="20" w:after="20"/>
            </w:pPr>
            <w:r/>
            <w:r>
              <w:rPr>
                <w:rFonts w:ascii="Calibri" w:hAnsi="Calibri"/>
                <w:b w:val="0"/>
                <w:i w:val="0"/>
                <w:color w:val="333A45"/>
                <w:sz w:val="16"/>
              </w:rPr>
              <w:t>All</w:t>
            </w:r>
          </w:p>
        </w:tc>
        <w:tc>
          <w:tcPr>
            <w:tcW w:type="dxa" w:w="3551"/>
            <w:shd w:fill="F4F7F2" w:val="clear"/>
            <w:tcMar>
              <w:top w:w="50" w:type="dxa"/>
              <w:left w:w="50" w:type="dxa"/>
              <w:bottom w:w="50" w:type="dxa"/>
              <w:right w:w="50" w:type="dxa"/>
            </w:tcMar>
          </w:tcPr>
          <w:p>
            <w:pPr>
              <w:spacing w:before="20" w:after="20"/>
            </w:pPr>
            <w:r/>
            <w:r>
              <w:rPr>
                <w:rFonts w:ascii="Calibri" w:hAnsi="Calibri"/>
                <w:b w:val="0"/>
                <w:i w:val="0"/>
                <w:color w:val="333A45"/>
                <w:sz w:val="16"/>
              </w:rPr>
              <w:t>All of Part B</w:t>
            </w:r>
          </w:p>
        </w:tc>
      </w:tr>
      <w:tr>
        <w:tc>
          <w:tcPr>
            <w:tcW w:type="dxa" w:w="3551"/>
            <w:shd w:fill="FFFFFF" w:val="clear"/>
            <w:tcMar>
              <w:top w:w="50" w:type="dxa"/>
              <w:left w:w="50" w:type="dxa"/>
              <w:bottom w:w="50" w:type="dxa"/>
              <w:right w:w="50" w:type="dxa"/>
            </w:tcMar>
          </w:tcPr>
          <w:p>
            <w:pPr>
              <w:spacing w:before="20" w:after="20"/>
            </w:pPr>
            <w:r/>
            <w:r>
              <w:rPr>
                <w:rFonts w:ascii="Calibri" w:hAnsi="Calibri"/>
                <w:b w:val="0"/>
                <w:i w:val="0"/>
                <w:color w:val="333A45"/>
                <w:sz w:val="16"/>
              </w:rPr>
              <w:t>Day-pass guest</w:t>
            </w:r>
          </w:p>
        </w:tc>
        <w:tc>
          <w:tcPr>
            <w:tcW w:type="dxa" w:w="3551"/>
            <w:shd w:fill="FFFFFF" w:val="clear"/>
            <w:tcMar>
              <w:top w:w="50" w:type="dxa"/>
              <w:left w:w="50" w:type="dxa"/>
              <w:bottom w:w="50" w:type="dxa"/>
              <w:right w:w="50" w:type="dxa"/>
            </w:tcMar>
          </w:tcPr>
          <w:p>
            <w:pPr>
              <w:spacing w:before="20" w:after="20"/>
            </w:pPr>
            <w:r/>
            <w:r>
              <w:rPr>
                <w:rFonts w:ascii="Calibri" w:hAnsi="Calibri"/>
                <w:b w:val="0"/>
                <w:i w:val="0"/>
                <w:color w:val="333A45"/>
                <w:sz w:val="16"/>
              </w:rPr>
              <w:t>All</w:t>
            </w:r>
          </w:p>
        </w:tc>
        <w:tc>
          <w:tcPr>
            <w:tcW w:type="dxa" w:w="3551"/>
            <w:shd w:fill="FFFFFF" w:val="clear"/>
            <w:tcMar>
              <w:top w:w="50" w:type="dxa"/>
              <w:left w:w="50" w:type="dxa"/>
              <w:bottom w:w="50" w:type="dxa"/>
              <w:right w:w="50" w:type="dxa"/>
            </w:tcMar>
          </w:tcPr>
          <w:p>
            <w:pPr>
              <w:spacing w:before="20" w:after="20"/>
            </w:pPr>
            <w:r/>
            <w:r>
              <w:rPr>
                <w:rFonts w:ascii="Calibri" w:hAnsi="Calibri"/>
                <w:b w:val="0"/>
                <w:i w:val="0"/>
                <w:color w:val="333A45"/>
                <w:sz w:val="16"/>
              </w:rPr>
              <w:t>All of Part B</w:t>
            </w:r>
          </w:p>
        </w:tc>
      </w:tr>
      <w:tr>
        <w:tc>
          <w:tcPr>
            <w:tcW w:type="dxa" w:w="3551"/>
            <w:shd w:fill="F4F7F2" w:val="clear"/>
            <w:tcMar>
              <w:top w:w="50" w:type="dxa"/>
              <w:left w:w="50" w:type="dxa"/>
              <w:bottom w:w="50" w:type="dxa"/>
              <w:right w:w="50" w:type="dxa"/>
            </w:tcMar>
          </w:tcPr>
          <w:p>
            <w:pPr>
              <w:spacing w:before="20" w:after="20"/>
            </w:pPr>
            <w:r/>
            <w:r>
              <w:rPr>
                <w:rFonts w:ascii="Calibri" w:hAnsi="Calibri"/>
                <w:b w:val="0"/>
                <w:i w:val="0"/>
                <w:color w:val="333A45"/>
                <w:sz w:val="16"/>
              </w:rPr>
              <w:t>Front desk</w:t>
            </w:r>
          </w:p>
        </w:tc>
        <w:tc>
          <w:tcPr>
            <w:tcW w:type="dxa" w:w="3551"/>
            <w:shd w:fill="F4F7F2" w:val="clear"/>
            <w:tcMar>
              <w:top w:w="50" w:type="dxa"/>
              <w:left w:w="50" w:type="dxa"/>
              <w:bottom w:w="50" w:type="dxa"/>
              <w:right w:w="50" w:type="dxa"/>
            </w:tcMar>
          </w:tcPr>
          <w:p>
            <w:pPr>
              <w:spacing w:before="20" w:after="20"/>
            </w:pPr>
            <w:r/>
            <w:r>
              <w:rPr>
                <w:rFonts w:ascii="Calibri" w:hAnsi="Calibri"/>
                <w:b w:val="0"/>
                <w:i w:val="0"/>
                <w:color w:val="333A45"/>
                <w:sz w:val="16"/>
              </w:rPr>
              <w:t>All and Tech</w:t>
            </w:r>
          </w:p>
        </w:tc>
        <w:tc>
          <w:tcPr>
            <w:tcW w:type="dxa" w:w="3551"/>
            <w:shd w:fill="F4F7F2" w:val="clear"/>
            <w:tcMar>
              <w:top w:w="50" w:type="dxa"/>
              <w:left w:w="50" w:type="dxa"/>
              <w:bottom w:w="50" w:type="dxa"/>
              <w:right w:w="50" w:type="dxa"/>
            </w:tcMar>
          </w:tcPr>
          <w:p>
            <w:pPr>
              <w:spacing w:before="20" w:after="20"/>
            </w:pPr>
            <w:r/>
            <w:r>
              <w:rPr>
                <w:rFonts w:ascii="Calibri" w:hAnsi="Calibri"/>
                <w:b w:val="0"/>
                <w:i w:val="0"/>
                <w:color w:val="333A45"/>
                <w:sz w:val="16"/>
              </w:rPr>
              <w:t>All of Part B</w:t>
            </w:r>
          </w:p>
        </w:tc>
      </w:tr>
      <w:tr>
        <w:tc>
          <w:tcPr>
            <w:tcW w:type="dxa" w:w="3551"/>
            <w:shd w:fill="FFFFFF" w:val="clear"/>
            <w:tcMar>
              <w:top w:w="50" w:type="dxa"/>
              <w:left w:w="50" w:type="dxa"/>
              <w:bottom w:w="50" w:type="dxa"/>
              <w:right w:w="50" w:type="dxa"/>
            </w:tcMar>
          </w:tcPr>
          <w:p>
            <w:pPr>
              <w:spacing w:before="20" w:after="20"/>
            </w:pPr>
            <w:r/>
            <w:r>
              <w:rPr>
                <w:rFonts w:ascii="Calibri" w:hAnsi="Calibri"/>
                <w:b w:val="0"/>
                <w:i w:val="0"/>
                <w:color w:val="333A45"/>
                <w:sz w:val="16"/>
              </w:rPr>
              <w:t>Coach</w:t>
            </w:r>
          </w:p>
        </w:tc>
        <w:tc>
          <w:tcPr>
            <w:tcW w:type="dxa" w:w="3551"/>
            <w:shd w:fill="FFFFFF" w:val="clear"/>
            <w:tcMar>
              <w:top w:w="50" w:type="dxa"/>
              <w:left w:w="50" w:type="dxa"/>
              <w:bottom w:w="50" w:type="dxa"/>
              <w:right w:w="50" w:type="dxa"/>
            </w:tcMar>
          </w:tcPr>
          <w:p>
            <w:pPr>
              <w:spacing w:before="20" w:after="20"/>
            </w:pPr>
            <w:r/>
            <w:r>
              <w:rPr>
                <w:rFonts w:ascii="Calibri" w:hAnsi="Calibri"/>
                <w:b w:val="0"/>
                <w:i w:val="0"/>
                <w:color w:val="333A45"/>
                <w:sz w:val="16"/>
              </w:rPr>
              <w:t>All and Tech</w:t>
            </w:r>
          </w:p>
        </w:tc>
        <w:tc>
          <w:tcPr>
            <w:tcW w:type="dxa" w:w="3551"/>
            <w:shd w:fill="FFFFFF" w:val="clear"/>
            <w:tcMar>
              <w:top w:w="50" w:type="dxa"/>
              <w:left w:w="50" w:type="dxa"/>
              <w:bottom w:w="50" w:type="dxa"/>
              <w:right w:w="50" w:type="dxa"/>
            </w:tcMar>
          </w:tcPr>
          <w:p>
            <w:pPr>
              <w:spacing w:before="20" w:after="20"/>
            </w:pPr>
            <w:r/>
            <w:r>
              <w:rPr>
                <w:rFonts w:ascii="Calibri" w:hAnsi="Calibri"/>
                <w:b w:val="0"/>
                <w:i w:val="0"/>
                <w:color w:val="333A45"/>
                <w:sz w:val="16"/>
              </w:rPr>
              <w:t>All of Part B</w:t>
            </w:r>
          </w:p>
        </w:tc>
      </w:tr>
      <w:tr>
        <w:tc>
          <w:tcPr>
            <w:tcW w:type="dxa" w:w="3551"/>
            <w:shd w:fill="F4F7F2" w:val="clear"/>
            <w:tcMar>
              <w:top w:w="50" w:type="dxa"/>
              <w:left w:w="50" w:type="dxa"/>
              <w:bottom w:w="50" w:type="dxa"/>
              <w:right w:w="50" w:type="dxa"/>
            </w:tcMar>
          </w:tcPr>
          <w:p>
            <w:pPr>
              <w:spacing w:before="20" w:after="20"/>
            </w:pPr>
            <w:r/>
            <w:r>
              <w:rPr>
                <w:rFonts w:ascii="Calibri" w:hAnsi="Calibri"/>
                <w:b w:val="0"/>
                <w:i w:val="0"/>
                <w:color w:val="333A45"/>
                <w:sz w:val="16"/>
              </w:rPr>
              <w:t>Administrator</w:t>
            </w:r>
          </w:p>
        </w:tc>
        <w:tc>
          <w:tcPr>
            <w:tcW w:type="dxa" w:w="3551"/>
            <w:shd w:fill="F4F7F2" w:val="clear"/>
            <w:tcMar>
              <w:top w:w="50" w:type="dxa"/>
              <w:left w:w="50" w:type="dxa"/>
              <w:bottom w:w="50" w:type="dxa"/>
              <w:right w:w="50" w:type="dxa"/>
            </w:tcMar>
          </w:tcPr>
          <w:p>
            <w:pPr>
              <w:spacing w:before="20" w:after="20"/>
            </w:pPr>
            <w:r/>
            <w:r>
              <w:rPr>
                <w:rFonts w:ascii="Calibri" w:hAnsi="Calibri"/>
                <w:b w:val="0"/>
                <w:i w:val="0"/>
                <w:color w:val="333A45"/>
                <w:sz w:val="16"/>
              </w:rPr>
              <w:t>All and Tech</w:t>
            </w:r>
          </w:p>
        </w:tc>
        <w:tc>
          <w:tcPr>
            <w:tcW w:type="dxa" w:w="3551"/>
            <w:shd w:fill="F4F7F2" w:val="clear"/>
            <w:tcMar>
              <w:top w:w="50" w:type="dxa"/>
              <w:left w:w="50" w:type="dxa"/>
              <w:bottom w:w="50" w:type="dxa"/>
              <w:right w:w="50" w:type="dxa"/>
            </w:tcMar>
          </w:tcPr>
          <w:p>
            <w:pPr>
              <w:spacing w:before="20" w:after="20"/>
            </w:pPr>
            <w:r/>
            <w:r>
              <w:rPr>
                <w:rFonts w:ascii="Calibri" w:hAnsi="Calibri"/>
                <w:b w:val="0"/>
                <w:i w:val="0"/>
                <w:color w:val="333A45"/>
                <w:sz w:val="16"/>
              </w:rPr>
              <w:t>All of Part B</w:t>
            </w:r>
          </w:p>
        </w:tc>
      </w:tr>
      <w:tr>
        <w:tc>
          <w:tcPr>
            <w:tcW w:type="dxa" w:w="3551"/>
            <w:shd w:fill="FFFFFF" w:val="clear"/>
            <w:tcMar>
              <w:top w:w="50" w:type="dxa"/>
              <w:left w:w="50" w:type="dxa"/>
              <w:bottom w:w="50" w:type="dxa"/>
              <w:right w:w="50" w:type="dxa"/>
            </w:tcMar>
          </w:tcPr>
          <w:p>
            <w:pPr>
              <w:spacing w:before="20" w:after="20"/>
            </w:pPr>
            <w:r/>
            <w:r>
              <w:rPr>
                <w:rFonts w:ascii="Calibri" w:hAnsi="Calibri"/>
                <w:b w:val="0"/>
                <w:i w:val="0"/>
                <w:color w:val="333A45"/>
                <w:sz w:val="16"/>
              </w:rPr>
              <w:t>Technical evaluator</w:t>
            </w:r>
          </w:p>
        </w:tc>
        <w:tc>
          <w:tcPr>
            <w:tcW w:type="dxa" w:w="3551"/>
            <w:shd w:fill="FFFFFF" w:val="clear"/>
            <w:tcMar>
              <w:top w:w="50" w:type="dxa"/>
              <w:left w:w="50" w:type="dxa"/>
              <w:bottom w:w="50" w:type="dxa"/>
              <w:right w:w="50" w:type="dxa"/>
            </w:tcMar>
          </w:tcPr>
          <w:p>
            <w:pPr>
              <w:spacing w:before="20" w:after="20"/>
            </w:pPr>
            <w:r/>
            <w:r>
              <w:rPr>
                <w:rFonts w:ascii="Calibri" w:hAnsi="Calibri"/>
                <w:b w:val="0"/>
                <w:i w:val="0"/>
                <w:color w:val="333A45"/>
                <w:sz w:val="16"/>
              </w:rPr>
              <w:t>All and Tech</w:t>
            </w:r>
          </w:p>
        </w:tc>
        <w:tc>
          <w:tcPr>
            <w:tcW w:type="dxa" w:w="3551"/>
            <w:shd w:fill="FFFFFF" w:val="clear"/>
            <w:tcMar>
              <w:top w:w="50" w:type="dxa"/>
              <w:left w:w="50" w:type="dxa"/>
              <w:bottom w:w="50" w:type="dxa"/>
              <w:right w:w="50" w:type="dxa"/>
            </w:tcMar>
          </w:tcPr>
          <w:p>
            <w:pPr>
              <w:spacing w:before="20" w:after="20"/>
            </w:pPr>
            <w:r/>
            <w:r>
              <w:rPr>
                <w:rFonts w:ascii="Calibri" w:hAnsi="Calibri"/>
                <w:b w:val="0"/>
                <w:i w:val="0"/>
                <w:color w:val="333A45"/>
                <w:sz w:val="16"/>
              </w:rPr>
              <w:t>All of Part B</w:t>
            </w:r>
          </w:p>
        </w:tc>
      </w:tr>
    </w:tbl>
    <w:p>
      <w:pPr>
        <w:spacing w:after="80"/>
      </w:pPr>
    </w:p>
    <w:p>
      <w:pPr>
        <w:spacing w:before="80" w:after="40" w:line="259" w:lineRule="auto"/>
      </w:pPr>
      <w:r>
        <w:rPr>
          <w:rFonts w:ascii="Calibri" w:hAnsi="Calibri"/>
          <w:b/>
          <w:i w:val="0"/>
          <w:sz w:val="22"/>
        </w:rPr>
        <w:t>Respondent</w:t>
      </w:r>
    </w:p>
    <w:tbl>
      <w:tblPr>
        <w:tblStyle w:val="TableGrid"/>
        <w:tblW w:type="auto" w:w="0"/>
        <w:tblLook w:firstColumn="1" w:firstRow="1" w:lastColumn="0" w:lastRow="0" w:noHBand="0" w:noVBand="1" w:val="04A0"/>
      </w:tblPr>
      <w:tblGrid>
        <w:gridCol w:w="5326"/>
        <w:gridCol w:w="5326"/>
      </w:tblGrid>
      <w:tr>
        <w:tc>
          <w:tcPr>
            <w:tcW w:type="dxa" w:w="5326"/>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Field</w:t>
            </w:r>
          </w:p>
        </w:tc>
        <w:tc>
          <w:tcPr>
            <w:tcW w:type="dxa" w:w="5326"/>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Response</w:t>
            </w:r>
          </w:p>
        </w:tc>
      </w:tr>
      <w:tr>
        <w:tc>
          <w:tcPr>
            <w:tcW w:type="dxa" w:w="5326"/>
            <w:shd w:fill="F4F7F2" w:val="clear"/>
            <w:tcMar>
              <w:top w:w="50" w:type="dxa"/>
              <w:left w:w="50" w:type="dxa"/>
              <w:bottom w:w="50" w:type="dxa"/>
              <w:right w:w="50" w:type="dxa"/>
            </w:tcMar>
          </w:tcPr>
          <w:p>
            <w:pPr>
              <w:spacing w:before="20" w:after="20"/>
            </w:pPr>
            <w:r/>
            <w:r>
              <w:rPr>
                <w:rFonts w:ascii="Calibri" w:hAnsi="Calibri"/>
                <w:b w:val="0"/>
                <w:i w:val="0"/>
                <w:color w:val="333A45"/>
                <w:sz w:val="16"/>
              </w:rPr>
              <w:t>Name</w:t>
            </w:r>
          </w:p>
        </w:tc>
        <w:tc>
          <w:tcPr>
            <w:tcW w:type="dxa" w:w="5326"/>
            <w:shd w:fill="F4F7F2" w:val="clear"/>
            <w:tcMar>
              <w:top w:w="50" w:type="dxa"/>
              <w:left w:w="50" w:type="dxa"/>
              <w:bottom w:w="50" w:type="dxa"/>
              <w:right w:w="50" w:type="dxa"/>
            </w:tcMar>
          </w:tcPr>
          <w:p>
            <w:pPr>
              <w:spacing w:before="20" w:after="20"/>
            </w:pPr>
            <w:r/>
            <w:r>
              <w:rPr>
                <w:rFonts w:ascii="Calibri" w:hAnsi="Calibri"/>
                <w:b w:val="0"/>
                <w:i w:val="0"/>
                <w:color w:val="333A45"/>
                <w:sz w:val="16"/>
              </w:rPr>
            </w:r>
          </w:p>
        </w:tc>
      </w:tr>
      <w:tr>
        <w:tc>
          <w:tcPr>
            <w:tcW w:type="dxa" w:w="5326"/>
            <w:shd w:fill="FFFFFF" w:val="clear"/>
            <w:tcMar>
              <w:top w:w="50" w:type="dxa"/>
              <w:left w:w="50" w:type="dxa"/>
              <w:bottom w:w="50" w:type="dxa"/>
              <w:right w:w="50" w:type="dxa"/>
            </w:tcMar>
          </w:tcPr>
          <w:p>
            <w:pPr>
              <w:spacing w:before="20" w:after="20"/>
            </w:pPr>
            <w:r/>
            <w:r>
              <w:rPr>
                <w:rFonts w:ascii="Calibri" w:hAnsi="Calibri"/>
                <w:b w:val="0"/>
                <w:i w:val="0"/>
                <w:color w:val="333A45"/>
                <w:sz w:val="16"/>
              </w:rPr>
              <w:t>Role</w:t>
            </w:r>
          </w:p>
        </w:tc>
        <w:tc>
          <w:tcPr>
            <w:tcW w:type="dxa" w:w="5326"/>
            <w:shd w:fill="FFFFFF" w:val="clear"/>
            <w:tcMar>
              <w:top w:w="50" w:type="dxa"/>
              <w:left w:w="50" w:type="dxa"/>
              <w:bottom w:w="50" w:type="dxa"/>
              <w:right w:w="50" w:type="dxa"/>
            </w:tcMar>
          </w:tcPr>
          <w:p>
            <w:pPr>
              <w:spacing w:before="20" w:after="20"/>
            </w:pPr>
            <w:r/>
            <w:r>
              <w:rPr>
                <w:rFonts w:ascii="Calibri" w:hAnsi="Calibri"/>
                <w:b w:val="0"/>
                <w:i w:val="0"/>
                <w:color w:val="333A45"/>
                <w:sz w:val="16"/>
              </w:rPr>
            </w:r>
          </w:p>
        </w:tc>
      </w:tr>
      <w:tr>
        <w:tc>
          <w:tcPr>
            <w:tcW w:type="dxa" w:w="5326"/>
            <w:shd w:fill="F4F7F2" w:val="clear"/>
            <w:tcMar>
              <w:top w:w="50" w:type="dxa"/>
              <w:left w:w="50" w:type="dxa"/>
              <w:bottom w:w="50" w:type="dxa"/>
              <w:right w:w="50" w:type="dxa"/>
            </w:tcMar>
          </w:tcPr>
          <w:p>
            <w:pPr>
              <w:spacing w:before="20" w:after="20"/>
            </w:pPr>
            <w:r/>
            <w:r>
              <w:rPr>
                <w:rFonts w:ascii="Calibri" w:hAnsi="Calibri"/>
                <w:b w:val="0"/>
                <w:i w:val="0"/>
                <w:color w:val="333A45"/>
                <w:sz w:val="16"/>
              </w:rPr>
              <w:t>Date</w:t>
            </w:r>
          </w:p>
        </w:tc>
        <w:tc>
          <w:tcPr>
            <w:tcW w:type="dxa" w:w="5326"/>
            <w:shd w:fill="F4F7F2" w:val="clear"/>
            <w:tcMar>
              <w:top w:w="50" w:type="dxa"/>
              <w:left w:w="50" w:type="dxa"/>
              <w:bottom w:w="50" w:type="dxa"/>
              <w:right w:w="50" w:type="dxa"/>
            </w:tcMar>
          </w:tcPr>
          <w:p>
            <w:pPr>
              <w:spacing w:before="20" w:after="20"/>
            </w:pPr>
            <w:r/>
            <w:r>
              <w:rPr>
                <w:rFonts w:ascii="Calibri" w:hAnsi="Calibri"/>
                <w:b w:val="0"/>
                <w:i w:val="0"/>
                <w:color w:val="333A45"/>
                <w:sz w:val="16"/>
              </w:rPr>
            </w:r>
          </w:p>
        </w:tc>
      </w:tr>
      <w:tr>
        <w:tc>
          <w:tcPr>
            <w:tcW w:type="dxa" w:w="5326"/>
            <w:shd w:fill="FFFFFF" w:val="clear"/>
            <w:tcMar>
              <w:top w:w="50" w:type="dxa"/>
              <w:left w:w="50" w:type="dxa"/>
              <w:bottom w:w="50" w:type="dxa"/>
              <w:right w:w="50" w:type="dxa"/>
            </w:tcMar>
          </w:tcPr>
          <w:p>
            <w:pPr>
              <w:spacing w:before="20" w:after="20"/>
            </w:pPr>
            <w:r/>
            <w:r>
              <w:rPr>
                <w:rFonts w:ascii="Calibri" w:hAnsi="Calibri"/>
                <w:b w:val="0"/>
                <w:i w:val="0"/>
                <w:color w:val="333A45"/>
                <w:sz w:val="16"/>
              </w:rPr>
              <w:t>How you used GYMTRACE</w:t>
            </w:r>
          </w:p>
        </w:tc>
        <w:tc>
          <w:tcPr>
            <w:tcW w:type="dxa" w:w="5326"/>
            <w:shd w:fill="FFFFFF" w:val="clear"/>
            <w:tcMar>
              <w:top w:w="50" w:type="dxa"/>
              <w:left w:w="50" w:type="dxa"/>
              <w:bottom w:w="50" w:type="dxa"/>
              <w:right w:w="50" w:type="dxa"/>
            </w:tcMar>
          </w:tcPr>
          <w:p>
            <w:pPr>
              <w:spacing w:before="20" w:after="20"/>
            </w:pPr>
            <w:r/>
            <w:r>
              <w:rPr>
                <w:rFonts w:ascii="Calibri" w:hAnsi="Calibri"/>
                <w:b w:val="0"/>
                <w:i w:val="0"/>
                <w:color w:val="333A45"/>
                <w:sz w:val="16"/>
              </w:rPr>
              <w:t>Lobby kiosk / front desk / coach view / admin console / code review</w:t>
            </w:r>
          </w:p>
        </w:tc>
      </w:tr>
    </w:tbl>
    <w:p>
      <w:pPr>
        <w:spacing w:after="80"/>
      </w:pPr>
    </w:p>
    <w:p>
      <w:pPr>
        <w:pStyle w:val="Heading1"/>
      </w:pPr>
      <w:r>
        <w:rPr>
          <w:rFonts w:ascii="Calibri" w:hAnsi="Calibri"/>
          <w:color w:val="1B2A4A"/>
        </w:rPr>
        <w:t>3. Scale and scoring</w:t>
      </w:r>
    </w:p>
    <w:p>
      <w:pPr>
        <w:spacing w:before="0" w:after="120" w:line="259" w:lineRule="auto"/>
      </w:pPr>
      <w:r>
        <w:rPr>
          <w:rFonts w:ascii="Calibri" w:hAnsi="Calibri"/>
          <w:b w:val="0"/>
          <w:i w:val="0"/>
          <w:sz w:val="22"/>
        </w:rPr>
        <w:t>Rate how far you agree with each statement. The scale is a five-point Likert scale (Likert, 1932). Tick one box.</w:t>
      </w:r>
    </w:p>
    <w:tbl>
      <w:tblPr>
        <w:tblStyle w:val="TableGrid"/>
        <w:tblW w:type="auto" w:w="0"/>
        <w:tblLook w:firstColumn="1" w:firstRow="1" w:lastColumn="0" w:lastRow="0" w:noHBand="0" w:noVBand="1" w:val="04A0"/>
      </w:tblPr>
      <w:tblGrid>
        <w:gridCol w:w="5326"/>
        <w:gridCol w:w="5326"/>
      </w:tblGrid>
      <w:tr>
        <w:tc>
          <w:tcPr>
            <w:tcW w:type="dxa" w:w="5326"/>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Score</w:t>
            </w:r>
          </w:p>
        </w:tc>
        <w:tc>
          <w:tcPr>
            <w:tcW w:type="dxa" w:w="5326"/>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Meaning</w:t>
            </w:r>
          </w:p>
        </w:tc>
      </w:tr>
      <w:tr>
        <w:tc>
          <w:tcPr>
            <w:tcW w:type="dxa" w:w="5326"/>
            <w:shd w:fill="F4F7F2" w:val="clear"/>
            <w:tcMar>
              <w:top w:w="50" w:type="dxa"/>
              <w:left w:w="50" w:type="dxa"/>
              <w:bottom w:w="50" w:type="dxa"/>
              <w:right w:w="50" w:type="dxa"/>
            </w:tcMar>
          </w:tcPr>
          <w:p>
            <w:pPr>
              <w:spacing w:before="20" w:after="20"/>
            </w:pPr>
            <w:r/>
            <w:r>
              <w:rPr>
                <w:rFonts w:ascii="Calibri" w:hAnsi="Calibri"/>
                <w:b w:val="0"/>
                <w:i w:val="0"/>
                <w:color w:val="333A45"/>
                <w:sz w:val="16"/>
              </w:rPr>
              <w:t>5</w:t>
            </w:r>
          </w:p>
        </w:tc>
        <w:tc>
          <w:tcPr>
            <w:tcW w:type="dxa" w:w="5326"/>
            <w:shd w:fill="F4F7F2" w:val="clear"/>
            <w:tcMar>
              <w:top w:w="50" w:type="dxa"/>
              <w:left w:w="50" w:type="dxa"/>
              <w:bottom w:w="50" w:type="dxa"/>
              <w:right w:w="50" w:type="dxa"/>
            </w:tcMar>
          </w:tcPr>
          <w:p>
            <w:pPr>
              <w:spacing w:before="20" w:after="20"/>
            </w:pPr>
            <w:r/>
            <w:r>
              <w:rPr>
                <w:rFonts w:ascii="Calibri" w:hAnsi="Calibri"/>
                <w:b w:val="0"/>
                <w:i w:val="0"/>
                <w:color w:val="333A45"/>
                <w:sz w:val="16"/>
              </w:rPr>
              <w:t>Strongly agree</w:t>
            </w:r>
          </w:p>
        </w:tc>
      </w:tr>
      <w:tr>
        <w:tc>
          <w:tcPr>
            <w:tcW w:type="dxa" w:w="5326"/>
            <w:shd w:fill="FFFFFF" w:val="clear"/>
            <w:tcMar>
              <w:top w:w="50" w:type="dxa"/>
              <w:left w:w="50" w:type="dxa"/>
              <w:bottom w:w="50" w:type="dxa"/>
              <w:right w:w="50" w:type="dxa"/>
            </w:tcMar>
          </w:tcPr>
          <w:p>
            <w:pPr>
              <w:spacing w:before="20" w:after="20"/>
            </w:pPr>
            <w:r/>
            <w:r>
              <w:rPr>
                <w:rFonts w:ascii="Calibri" w:hAnsi="Calibri"/>
                <w:b w:val="0"/>
                <w:i w:val="0"/>
                <w:color w:val="333A45"/>
                <w:sz w:val="16"/>
              </w:rPr>
              <w:t>4</w:t>
            </w:r>
          </w:p>
        </w:tc>
        <w:tc>
          <w:tcPr>
            <w:tcW w:type="dxa" w:w="5326"/>
            <w:shd w:fill="FFFFFF" w:val="clear"/>
            <w:tcMar>
              <w:top w:w="50" w:type="dxa"/>
              <w:left w:w="50" w:type="dxa"/>
              <w:bottom w:w="50" w:type="dxa"/>
              <w:right w:w="50" w:type="dxa"/>
            </w:tcMar>
          </w:tcPr>
          <w:p>
            <w:pPr>
              <w:spacing w:before="20" w:after="20"/>
            </w:pPr>
            <w:r/>
            <w:r>
              <w:rPr>
                <w:rFonts w:ascii="Calibri" w:hAnsi="Calibri"/>
                <w:b w:val="0"/>
                <w:i w:val="0"/>
                <w:color w:val="333A45"/>
                <w:sz w:val="16"/>
              </w:rPr>
              <w:t>Agree</w:t>
            </w:r>
          </w:p>
        </w:tc>
      </w:tr>
      <w:tr>
        <w:tc>
          <w:tcPr>
            <w:tcW w:type="dxa" w:w="5326"/>
            <w:shd w:fill="F4F7F2" w:val="clear"/>
            <w:tcMar>
              <w:top w:w="50" w:type="dxa"/>
              <w:left w:w="50" w:type="dxa"/>
              <w:bottom w:w="50" w:type="dxa"/>
              <w:right w:w="50" w:type="dxa"/>
            </w:tcMar>
          </w:tcPr>
          <w:p>
            <w:pPr>
              <w:spacing w:before="20" w:after="20"/>
            </w:pPr>
            <w:r/>
            <w:r>
              <w:rPr>
                <w:rFonts w:ascii="Calibri" w:hAnsi="Calibri"/>
                <w:b w:val="0"/>
                <w:i w:val="0"/>
                <w:color w:val="333A45"/>
                <w:sz w:val="16"/>
              </w:rPr>
              <w:t>3</w:t>
            </w:r>
          </w:p>
        </w:tc>
        <w:tc>
          <w:tcPr>
            <w:tcW w:type="dxa" w:w="5326"/>
            <w:shd w:fill="F4F7F2" w:val="clear"/>
            <w:tcMar>
              <w:top w:w="50" w:type="dxa"/>
              <w:left w:w="50" w:type="dxa"/>
              <w:bottom w:w="50" w:type="dxa"/>
              <w:right w:w="50" w:type="dxa"/>
            </w:tcMar>
          </w:tcPr>
          <w:p>
            <w:pPr>
              <w:spacing w:before="20" w:after="20"/>
            </w:pPr>
            <w:r/>
            <w:r>
              <w:rPr>
                <w:rFonts w:ascii="Calibri" w:hAnsi="Calibri"/>
                <w:b w:val="0"/>
                <w:i w:val="0"/>
                <w:color w:val="333A45"/>
                <w:sz w:val="16"/>
              </w:rPr>
              <w:t>Neither agree nor disagree</w:t>
            </w:r>
          </w:p>
        </w:tc>
      </w:tr>
      <w:tr>
        <w:tc>
          <w:tcPr>
            <w:tcW w:type="dxa" w:w="5326"/>
            <w:shd w:fill="FFFFFF" w:val="clear"/>
            <w:tcMar>
              <w:top w:w="50" w:type="dxa"/>
              <w:left w:w="50" w:type="dxa"/>
              <w:bottom w:w="50" w:type="dxa"/>
              <w:right w:w="50" w:type="dxa"/>
            </w:tcMar>
          </w:tcPr>
          <w:p>
            <w:pPr>
              <w:spacing w:before="20" w:after="20"/>
            </w:pPr>
            <w:r/>
            <w:r>
              <w:rPr>
                <w:rFonts w:ascii="Calibri" w:hAnsi="Calibri"/>
                <w:b w:val="0"/>
                <w:i w:val="0"/>
                <w:color w:val="333A45"/>
                <w:sz w:val="16"/>
              </w:rPr>
              <w:t>2</w:t>
            </w:r>
          </w:p>
        </w:tc>
        <w:tc>
          <w:tcPr>
            <w:tcW w:type="dxa" w:w="5326"/>
            <w:shd w:fill="FFFFFF" w:val="clear"/>
            <w:tcMar>
              <w:top w:w="50" w:type="dxa"/>
              <w:left w:w="50" w:type="dxa"/>
              <w:bottom w:w="50" w:type="dxa"/>
              <w:right w:w="50" w:type="dxa"/>
            </w:tcMar>
          </w:tcPr>
          <w:p>
            <w:pPr>
              <w:spacing w:before="20" w:after="20"/>
            </w:pPr>
            <w:r/>
            <w:r>
              <w:rPr>
                <w:rFonts w:ascii="Calibri" w:hAnsi="Calibri"/>
                <w:b w:val="0"/>
                <w:i w:val="0"/>
                <w:color w:val="333A45"/>
                <w:sz w:val="16"/>
              </w:rPr>
              <w:t>Disagree</w:t>
            </w:r>
          </w:p>
        </w:tc>
      </w:tr>
      <w:tr>
        <w:tc>
          <w:tcPr>
            <w:tcW w:type="dxa" w:w="5326"/>
            <w:shd w:fill="F4F7F2" w:val="clear"/>
            <w:tcMar>
              <w:top w:w="50" w:type="dxa"/>
              <w:left w:w="50" w:type="dxa"/>
              <w:bottom w:w="50" w:type="dxa"/>
              <w:right w:w="50" w:type="dxa"/>
            </w:tcMar>
          </w:tcPr>
          <w:p>
            <w:pPr>
              <w:spacing w:before="20" w:after="20"/>
            </w:pPr>
            <w:r/>
            <w:r>
              <w:rPr>
                <w:rFonts w:ascii="Calibri" w:hAnsi="Calibri"/>
                <w:b w:val="0"/>
                <w:i w:val="0"/>
                <w:color w:val="333A45"/>
                <w:sz w:val="16"/>
              </w:rPr>
              <w:t>1</w:t>
            </w:r>
          </w:p>
        </w:tc>
        <w:tc>
          <w:tcPr>
            <w:tcW w:type="dxa" w:w="5326"/>
            <w:shd w:fill="F4F7F2" w:val="clear"/>
            <w:tcMar>
              <w:top w:w="50" w:type="dxa"/>
              <w:left w:w="50" w:type="dxa"/>
              <w:bottom w:w="50" w:type="dxa"/>
              <w:right w:w="50" w:type="dxa"/>
            </w:tcMar>
          </w:tcPr>
          <w:p>
            <w:pPr>
              <w:spacing w:before="20" w:after="20"/>
            </w:pPr>
            <w:r/>
            <w:r>
              <w:rPr>
                <w:rFonts w:ascii="Calibri" w:hAnsi="Calibri"/>
                <w:b w:val="0"/>
                <w:i w:val="0"/>
                <w:color w:val="333A45"/>
                <w:sz w:val="16"/>
              </w:rPr>
              <w:t>Strongly disagree</w:t>
            </w:r>
          </w:p>
        </w:tc>
      </w:tr>
    </w:tbl>
    <w:p>
      <w:pPr>
        <w:spacing w:after="80"/>
      </w:pPr>
    </w:p>
    <w:p>
      <w:pPr>
        <w:spacing w:before="0" w:after="120" w:line="259" w:lineRule="auto"/>
      </w:pPr>
      <w:r>
        <w:rPr>
          <w:rFonts w:ascii="Calibri" w:hAnsi="Calibri"/>
          <w:b w:val="0"/>
          <w:i w:val="0"/>
          <w:sz w:val="22"/>
        </w:rPr>
        <w:t>After the forms are collected, score them as follows.</w:t>
      </w:r>
    </w:p>
    <w:p>
      <w:pPr>
        <w:pStyle w:val="ListBullet"/>
      </w:pPr>
      <w:r>
        <w:t>Item score is the number ticked. A blank Tech item is left out of that respondent’s mean. It is not scored as zero.</w:t>
      </w:r>
    </w:p>
    <w:p>
      <w:pPr>
        <w:pStyle w:val="ListBullet"/>
      </w:pPr>
      <w:r>
        <w:t>A characteristic score is the arithmetic mean of its item scores.</w:t>
      </w:r>
    </w:p>
    <w:p>
      <w:pPr>
        <w:pStyle w:val="ListBullet"/>
      </w:pPr>
      <w:r>
        <w:t>Product quality is the mean of the eight Part A characteristic scores, so each characteristic has equal weight.</w:t>
      </w:r>
    </w:p>
    <w:p>
      <w:pPr>
        <w:pStyle w:val="ListBullet"/>
      </w:pPr>
      <w:r>
        <w:t>Quality in use is the mean of the Part B item scores.</w:t>
      </w:r>
    </w:p>
    <w:p>
      <w:pPr>
        <w:pStyle w:val="ListBullet"/>
      </w:pPr>
      <w:r>
        <w:t>Read a mean with equal intervals of 0.80: 4.21–5.00 very high, 3.41–4.20 high, 2.61–3.40 moderate, 1.81–2.60 low, 1.00–1.80 very low.</w:t>
      </w:r>
    </w:p>
    <w:p>
      <w:pPr>
        <w:spacing w:before="0" w:after="120" w:line="259" w:lineRule="auto"/>
      </w:pPr>
      <w:r>
        <w:rPr>
          <w:rFonts w:ascii="Calibri" w:hAnsi="Calibri"/>
          <w:b w:val="0"/>
          <w:i/>
          <w:sz w:val="20"/>
        </w:rPr>
        <w:t>ISO/IEC 25023:2016 is the SQuaRE document for quantitative product-quality measures. This questionnaire records perception. It does not replace a measure such as check-in time or a defect count. Use both when the evaluation report is written.</w:t>
      </w:r>
    </w:p>
    <w:p>
      <w:pPr>
        <w:pStyle w:val="Heading1"/>
      </w:pPr>
      <w:r>
        <w:rPr>
          <w:rFonts w:ascii="Calibri" w:hAnsi="Calibri"/>
          <w:color w:val="1B2A4A"/>
        </w:rPr>
        <w:t>4. Part A — Product quality (ISO/IEC 25010:2011, clause 4.2)</w:t>
      </w:r>
    </w:p>
    <w:p>
      <w:pPr>
        <w:pStyle w:val="Heading2"/>
      </w:pPr>
      <w:r>
        <w:rPr>
          <w:rFonts w:ascii="Calibri" w:hAnsi="Calibri"/>
          <w:color w:val="1B2A4A"/>
        </w:rPr>
        <w:t>4.1 Functional suitability</w:t>
      </w:r>
    </w:p>
    <w:p>
      <w:pPr>
        <w:spacing w:before="0" w:after="80" w:line="259" w:lineRule="auto"/>
      </w:pPr>
      <w:r>
        <w:rPr>
          <w:rFonts w:ascii="Calibri" w:hAnsi="Calibri"/>
          <w:b w:val="0"/>
          <w:i/>
          <w:sz w:val="20"/>
        </w:rPr>
        <w:t>Degree to which GYMTRACE provides functions that meet stated and implied needs under the conditions at Peakline Gym Bajada.</w:t>
      </w:r>
    </w:p>
    <w:tbl>
      <w:tblPr>
        <w:tblStyle w:val="TableGrid"/>
        <w:tblW w:type="auto" w:w="0"/>
        <w:tblLook w:firstColumn="1" w:firstRow="1" w:lastColumn="0" w:lastRow="0" w:noHBand="0" w:noVBand="1" w:val="04A0"/>
      </w:tblPr>
      <w:tblGrid>
        <w:gridCol w:w="1331"/>
        <w:gridCol w:w="1331"/>
        <w:gridCol w:w="1331"/>
        <w:gridCol w:w="1331"/>
        <w:gridCol w:w="1331"/>
        <w:gridCol w:w="1331"/>
        <w:gridCol w:w="1331"/>
        <w:gridCol w:w="1331"/>
      </w:tblGrid>
      <w:tr>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Item</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Who</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Statement — adapted to GYMTRACE</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5</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4</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3</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2</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1</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FS-1</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GYMTRACE covers the tasks I need: member enrollment, face check-in and check-out, a day pass, and an occupancy view.</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FFFFF" w:val="clear"/>
            <w:tcMar>
              <w:top w:w="50" w:type="dxa"/>
              <w:left w:w="50" w:type="dxa"/>
              <w:bottom w:w="50" w:type="dxa"/>
              <w:right w:w="50" w:type="dxa"/>
            </w:tcMar>
          </w:tcPr>
          <w:p>
            <w:pPr>
              <w:spacing w:before="20" w:after="20"/>
              <w:jc w:val="center"/>
            </w:pPr>
            <w:r/>
            <w:r>
              <w:rPr>
                <w:rFonts w:ascii="Calibri" w:hAnsi="Calibri"/>
                <w:b/>
                <w:i w:val="0"/>
                <w:color w:val="1B2A4A"/>
                <w:sz w:val="16"/>
              </w:rPr>
              <w:t>FS-2</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FFFFF" w:val="clear"/>
            <w:tcMar>
              <w:top w:w="50" w:type="dxa"/>
              <w:left w:w="50" w:type="dxa"/>
              <w:bottom w:w="50" w:type="dxa"/>
              <w:right w:w="50" w:type="dxa"/>
            </w:tcMar>
          </w:tcPr>
          <w:p>
            <w:pPr>
              <w:spacing w:before="20" w:after="20"/>
            </w:pPr>
            <w:r/>
            <w:r>
              <w:rPr>
                <w:rFonts w:ascii="Calibri" w:hAnsi="Calibri"/>
                <w:b w:val="0"/>
                <w:i w:val="0"/>
                <w:color w:val="333A45"/>
                <w:sz w:val="16"/>
              </w:rPr>
              <w:t>The check-in result, the membership status, and the day-pass result that GYMTRACE shows are correct.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FS-3</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GYMTRACE gives me the steps I need for that task and does not make me pass through steps that do not belong to it.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bl>
    <w:p>
      <w:pPr>
        <w:spacing w:after="120"/>
      </w:pPr>
    </w:p>
    <w:p>
      <w:pPr>
        <w:pStyle w:val="Heading2"/>
      </w:pPr>
      <w:r>
        <w:rPr>
          <w:rFonts w:ascii="Calibri" w:hAnsi="Calibri"/>
          <w:color w:val="1B2A4A"/>
        </w:rPr>
        <w:t>4.2 Performance efficiency</w:t>
      </w:r>
    </w:p>
    <w:p>
      <w:pPr>
        <w:spacing w:before="0" w:after="80" w:line="259" w:lineRule="auto"/>
      </w:pPr>
      <w:r>
        <w:rPr>
          <w:rFonts w:ascii="Calibri" w:hAnsi="Calibri"/>
          <w:b w:val="0"/>
          <w:i/>
          <w:sz w:val="20"/>
        </w:rPr>
        <w:t>Performance relative to the resources used under the stated conditions.</w:t>
      </w:r>
    </w:p>
    <w:tbl>
      <w:tblPr>
        <w:tblStyle w:val="TableGrid"/>
        <w:tblW w:type="auto" w:w="0"/>
        <w:tblLook w:firstColumn="1" w:firstRow="1" w:lastColumn="0" w:lastRow="0" w:noHBand="0" w:noVBand="1" w:val="04A0"/>
      </w:tblPr>
      <w:tblGrid>
        <w:gridCol w:w="1331"/>
        <w:gridCol w:w="1331"/>
        <w:gridCol w:w="1331"/>
        <w:gridCol w:w="1331"/>
        <w:gridCol w:w="1331"/>
        <w:gridCol w:w="1331"/>
        <w:gridCol w:w="1331"/>
        <w:gridCol w:w="1331"/>
      </w:tblGrid>
      <w:tr>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Item</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Who</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Statement — adapted to GYMTRACE</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5</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4</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3</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2</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1</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PE-1</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Face check-in, day-pass validation, and opening a report finish quickly enough for the lobby and the front desk.</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FFFFF" w:val="clear"/>
            <w:tcMar>
              <w:top w:w="50" w:type="dxa"/>
              <w:left w:w="50" w:type="dxa"/>
              <w:bottom w:w="50" w:type="dxa"/>
              <w:right w:w="50" w:type="dxa"/>
            </w:tcMar>
          </w:tcPr>
          <w:p>
            <w:pPr>
              <w:spacing w:before="20" w:after="20"/>
              <w:jc w:val="center"/>
            </w:pPr>
            <w:r/>
            <w:r>
              <w:rPr>
                <w:rFonts w:ascii="Calibri" w:hAnsi="Calibri"/>
                <w:b/>
                <w:i w:val="0"/>
                <w:color w:val="1B2A4A"/>
                <w:sz w:val="16"/>
              </w:rPr>
              <w:t>PE-2</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Tech</w:t>
            </w:r>
          </w:p>
        </w:tc>
        <w:tc>
          <w:tcPr>
            <w:tcW w:type="dxa" w:w="1331"/>
            <w:shd w:fill="FFFFFF" w:val="clear"/>
            <w:tcMar>
              <w:top w:w="50" w:type="dxa"/>
              <w:left w:w="50" w:type="dxa"/>
              <w:bottom w:w="50" w:type="dxa"/>
              <w:right w:w="50" w:type="dxa"/>
            </w:tcMar>
          </w:tcPr>
          <w:p>
            <w:pPr>
              <w:spacing w:before="20" w:after="20"/>
            </w:pPr>
            <w:r/>
            <w:r>
              <w:rPr>
                <w:rFonts w:ascii="Calibri" w:hAnsi="Calibri"/>
                <w:b w:val="0"/>
                <w:i w:val="0"/>
                <w:color w:val="333A45"/>
                <w:sz w:val="16"/>
              </w:rPr>
              <w:t>GYMTRACE uses a reasonable amount of the lobby computer, the camera, and the network while it is checking people in.</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PE-3</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GYMTRACE still responds when the floor is busy and many members arrive in a short period.</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bl>
    <w:p>
      <w:pPr>
        <w:spacing w:after="120"/>
      </w:pPr>
    </w:p>
    <w:p>
      <w:pPr>
        <w:pStyle w:val="Heading2"/>
      </w:pPr>
      <w:r>
        <w:rPr>
          <w:rFonts w:ascii="Calibri" w:hAnsi="Calibri"/>
          <w:color w:val="1B2A4A"/>
        </w:rPr>
        <w:t>4.3 Compatibility</w:t>
      </w:r>
    </w:p>
    <w:p>
      <w:pPr>
        <w:spacing w:before="0" w:after="80" w:line="259" w:lineRule="auto"/>
      </w:pPr>
      <w:r>
        <w:rPr>
          <w:rFonts w:ascii="Calibri" w:hAnsi="Calibri"/>
          <w:b w:val="0"/>
          <w:i/>
          <w:sz w:val="20"/>
        </w:rPr>
        <w:t>Degree to which GYMTRACE can exchange information and share the environment with the other products the gym uses.</w:t>
      </w:r>
    </w:p>
    <w:tbl>
      <w:tblPr>
        <w:tblStyle w:val="TableGrid"/>
        <w:tblW w:type="auto" w:w="0"/>
        <w:tblLook w:firstColumn="1" w:firstRow="1" w:lastColumn="0" w:lastRow="0" w:noHBand="0" w:noVBand="1" w:val="04A0"/>
      </w:tblPr>
      <w:tblGrid>
        <w:gridCol w:w="1331"/>
        <w:gridCol w:w="1331"/>
        <w:gridCol w:w="1331"/>
        <w:gridCol w:w="1331"/>
        <w:gridCol w:w="1331"/>
        <w:gridCol w:w="1331"/>
        <w:gridCol w:w="1331"/>
        <w:gridCol w:w="1331"/>
      </w:tblGrid>
      <w:tr>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Item</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Who</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Statement — adapted to GYMTRACE</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5</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4</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3</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2</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1</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CO-1</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Tech</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GYMTRACE runs in the browser on the lobby and desk computers without stopping the other work those computers are used for.</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FFFFF" w:val="clear"/>
            <w:tcMar>
              <w:top w:w="50" w:type="dxa"/>
              <w:left w:w="50" w:type="dxa"/>
              <w:bottom w:w="50" w:type="dxa"/>
              <w:right w:w="50" w:type="dxa"/>
            </w:tcMar>
          </w:tcPr>
          <w:p>
            <w:pPr>
              <w:spacing w:before="20" w:after="20"/>
              <w:jc w:val="center"/>
            </w:pPr>
            <w:r/>
            <w:r>
              <w:rPr>
                <w:rFonts w:ascii="Calibri" w:hAnsi="Calibri"/>
                <w:b/>
                <w:i w:val="0"/>
                <w:color w:val="1B2A4A"/>
                <w:sz w:val="16"/>
              </w:rPr>
              <w:t>CO-2</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Tech</w:t>
            </w:r>
          </w:p>
        </w:tc>
        <w:tc>
          <w:tcPr>
            <w:tcW w:type="dxa" w:w="1331"/>
            <w:shd w:fill="FFFFFF" w:val="clear"/>
            <w:tcMar>
              <w:top w:w="50" w:type="dxa"/>
              <w:left w:w="50" w:type="dxa"/>
              <w:bottom w:w="50" w:type="dxa"/>
              <w:right w:w="50" w:type="dxa"/>
            </w:tcMar>
          </w:tcPr>
          <w:p>
            <w:pPr>
              <w:spacing w:before="20" w:after="20"/>
            </w:pPr>
            <w:r/>
            <w:r>
              <w:rPr>
                <w:rFonts w:ascii="Calibri" w:hAnsi="Calibri"/>
                <w:b w:val="0"/>
                <w:i w:val="0"/>
                <w:color w:val="333A45"/>
                <w:sz w:val="16"/>
              </w:rPr>
              <w:t>GYMTRACE can pass attendance and membership information to the records the gym keeps, in a form staff can use.</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bl>
    <w:p>
      <w:pPr>
        <w:spacing w:after="120"/>
      </w:pPr>
    </w:p>
    <w:p>
      <w:pPr>
        <w:pStyle w:val="Heading2"/>
      </w:pPr>
      <w:r>
        <w:rPr>
          <w:rFonts w:ascii="Calibri" w:hAnsi="Calibri"/>
          <w:color w:val="1B2A4A"/>
        </w:rPr>
        <w:t>4.4 Usability</w:t>
      </w:r>
    </w:p>
    <w:p>
      <w:pPr>
        <w:spacing w:before="0" w:after="80" w:line="259" w:lineRule="auto"/>
      </w:pPr>
      <w:r>
        <w:rPr>
          <w:rFonts w:ascii="Calibri" w:hAnsi="Calibri"/>
          <w:b w:val="0"/>
          <w:i/>
          <w:sz w:val="20"/>
        </w:rPr>
        <w:t>Degree to which GYMTRACE can be used by the stated users to achieve their goals with effectiveness, efficiency, and satisfaction. In the 2011 model this is judged here through its six subcharacteristics.</w:t>
      </w:r>
    </w:p>
    <w:tbl>
      <w:tblPr>
        <w:tblStyle w:val="TableGrid"/>
        <w:tblW w:type="auto" w:w="0"/>
        <w:tblLook w:firstColumn="1" w:firstRow="1" w:lastColumn="0" w:lastRow="0" w:noHBand="0" w:noVBand="1" w:val="04A0"/>
      </w:tblPr>
      <w:tblGrid>
        <w:gridCol w:w="1331"/>
        <w:gridCol w:w="1331"/>
        <w:gridCol w:w="1331"/>
        <w:gridCol w:w="1331"/>
        <w:gridCol w:w="1331"/>
        <w:gridCol w:w="1331"/>
        <w:gridCol w:w="1331"/>
        <w:gridCol w:w="1331"/>
      </w:tblGrid>
      <w:tr>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Item</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Who</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Statement — adapted to GYMTRACE</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5</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4</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3</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2</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1</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US-1</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From the home screen I can tell whether I should enter as a member, a day-pass guest, staff, or admin.</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FFFFF" w:val="clear"/>
            <w:tcMar>
              <w:top w:w="50" w:type="dxa"/>
              <w:left w:w="50" w:type="dxa"/>
              <w:bottom w:w="50" w:type="dxa"/>
              <w:right w:w="50" w:type="dxa"/>
            </w:tcMar>
          </w:tcPr>
          <w:p>
            <w:pPr>
              <w:spacing w:before="20" w:after="20"/>
              <w:jc w:val="center"/>
            </w:pPr>
            <w:r/>
            <w:r>
              <w:rPr>
                <w:rFonts w:ascii="Calibri" w:hAnsi="Calibri"/>
                <w:b/>
                <w:i w:val="0"/>
                <w:color w:val="1B2A4A"/>
                <w:sz w:val="16"/>
              </w:rPr>
              <w:t>US-2</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FFFFF" w:val="clear"/>
            <w:tcMar>
              <w:top w:w="50" w:type="dxa"/>
              <w:left w:w="50" w:type="dxa"/>
              <w:bottom w:w="50" w:type="dxa"/>
              <w:right w:w="50" w:type="dxa"/>
            </w:tcMar>
          </w:tcPr>
          <w:p>
            <w:pPr>
              <w:spacing w:before="20" w:after="20"/>
            </w:pPr>
            <w:r/>
            <w:r>
              <w:rPr>
                <w:rFonts w:ascii="Calibri" w:hAnsi="Calibri"/>
                <w:b w:val="0"/>
                <w:i w:val="0"/>
                <w:color w:val="333A45"/>
                <w:sz w:val="16"/>
              </w:rPr>
              <w:t>I can learn face check-in, day-pass entry, or the staff task that belongs to me without a long briefing.</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US-3</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I can finish check-in, a day-pass purchase, or my staff task without getting stuck.</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FFFFF" w:val="clear"/>
            <w:tcMar>
              <w:top w:w="50" w:type="dxa"/>
              <w:left w:w="50" w:type="dxa"/>
              <w:bottom w:w="50" w:type="dxa"/>
              <w:right w:w="50" w:type="dxa"/>
            </w:tcMar>
          </w:tcPr>
          <w:p>
            <w:pPr>
              <w:spacing w:before="20" w:after="20"/>
              <w:jc w:val="center"/>
            </w:pPr>
            <w:r/>
            <w:r>
              <w:rPr>
                <w:rFonts w:ascii="Calibri" w:hAnsi="Calibri"/>
                <w:b/>
                <w:i w:val="0"/>
                <w:color w:val="1B2A4A"/>
                <w:sz w:val="16"/>
              </w:rPr>
              <w:t>US-4</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FFFFF" w:val="clear"/>
            <w:tcMar>
              <w:top w:w="50" w:type="dxa"/>
              <w:left w:w="50" w:type="dxa"/>
              <w:bottom w:w="50" w:type="dxa"/>
              <w:right w:w="50" w:type="dxa"/>
            </w:tcMar>
          </w:tcPr>
          <w:p>
            <w:pPr>
              <w:spacing w:before="20" w:after="20"/>
            </w:pPr>
            <w:r/>
            <w:r>
              <w:rPr>
                <w:rFonts w:ascii="Calibri" w:hAnsi="Calibri"/>
                <w:b w:val="0"/>
                <w:i w:val="0"/>
                <w:color w:val="333A45"/>
                <w:sz w:val="16"/>
              </w:rPr>
              <w:t>GYMTRACE blocks an expired or frozen membership, a wrong PIN, an unknown face, and a used day pass instead of letting the mistake through.</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US-5</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The screens are readable, and the action I need (scan, pay, unlock, or open a report) is easy to see.</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FFFFF" w:val="clear"/>
            <w:tcMar>
              <w:top w:w="50" w:type="dxa"/>
              <w:left w:w="50" w:type="dxa"/>
              <w:bottom w:w="50" w:type="dxa"/>
              <w:right w:w="50" w:type="dxa"/>
            </w:tcMar>
          </w:tcPr>
          <w:p>
            <w:pPr>
              <w:spacing w:before="20" w:after="20"/>
              <w:jc w:val="center"/>
            </w:pPr>
            <w:r/>
            <w:r>
              <w:rPr>
                <w:rFonts w:ascii="Calibri" w:hAnsi="Calibri"/>
                <w:b/>
                <w:i w:val="0"/>
                <w:color w:val="1B2A4A"/>
                <w:sz w:val="16"/>
              </w:rPr>
              <w:t>US-6</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FFFFF" w:val="clear"/>
            <w:tcMar>
              <w:top w:w="50" w:type="dxa"/>
              <w:left w:w="50" w:type="dxa"/>
              <w:bottom w:w="50" w:type="dxa"/>
              <w:right w:w="50" w:type="dxa"/>
            </w:tcMar>
          </w:tcPr>
          <w:p>
            <w:pPr>
              <w:spacing w:before="20" w:after="20"/>
            </w:pPr>
            <w:r/>
            <w:r>
              <w:rPr>
                <w:rFonts w:ascii="Calibri" w:hAnsi="Calibri"/>
                <w:b w:val="0"/>
                <w:i w:val="0"/>
                <w:color w:val="333A45"/>
                <w:sz w:val="16"/>
              </w:rPr>
              <w:t>The text, buttons, and messages can be used by the members and guests who come to the Bajada lobby.</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bl>
    <w:p>
      <w:pPr>
        <w:spacing w:after="120"/>
      </w:pPr>
    </w:p>
    <w:p>
      <w:pPr>
        <w:pStyle w:val="Heading2"/>
      </w:pPr>
      <w:r>
        <w:rPr>
          <w:rFonts w:ascii="Calibri" w:hAnsi="Calibri"/>
          <w:color w:val="1B2A4A"/>
        </w:rPr>
        <w:t>4.5 Reliability</w:t>
      </w:r>
    </w:p>
    <w:p>
      <w:pPr>
        <w:spacing w:before="0" w:after="80" w:line="259" w:lineRule="auto"/>
      </w:pPr>
      <w:r>
        <w:rPr>
          <w:rFonts w:ascii="Calibri" w:hAnsi="Calibri"/>
          <w:b w:val="0"/>
          <w:i/>
          <w:sz w:val="20"/>
        </w:rPr>
        <w:t>Degree to which GYMTRACE performs specified functions under specified conditions for a specified period.</w:t>
      </w:r>
    </w:p>
    <w:tbl>
      <w:tblPr>
        <w:tblStyle w:val="TableGrid"/>
        <w:tblW w:type="auto" w:w="0"/>
        <w:tblLook w:firstColumn="1" w:firstRow="1" w:lastColumn="0" w:lastRow="0" w:noHBand="0" w:noVBand="1" w:val="04A0"/>
      </w:tblPr>
      <w:tblGrid>
        <w:gridCol w:w="1331"/>
        <w:gridCol w:w="1331"/>
        <w:gridCol w:w="1331"/>
        <w:gridCol w:w="1331"/>
        <w:gridCol w:w="1331"/>
        <w:gridCol w:w="1331"/>
        <w:gridCol w:w="1331"/>
        <w:gridCol w:w="1331"/>
      </w:tblGrid>
      <w:tr>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Item</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Who</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Statement — adapted to GYMTRACE</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5</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4</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3</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2</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1</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RE-1</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During a normal shift, check-in and day-pass sales behave the same way each time.</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FFFFF" w:val="clear"/>
            <w:tcMar>
              <w:top w:w="50" w:type="dxa"/>
              <w:left w:w="50" w:type="dxa"/>
              <w:bottom w:w="50" w:type="dxa"/>
              <w:right w:w="50" w:type="dxa"/>
            </w:tcMar>
          </w:tcPr>
          <w:p>
            <w:pPr>
              <w:spacing w:before="20" w:after="20"/>
              <w:jc w:val="center"/>
            </w:pPr>
            <w:r/>
            <w:r>
              <w:rPr>
                <w:rFonts w:ascii="Calibri" w:hAnsi="Calibri"/>
                <w:b/>
                <w:i w:val="0"/>
                <w:color w:val="1B2A4A"/>
                <w:sz w:val="16"/>
              </w:rPr>
              <w:t>RE-2</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FFFFF" w:val="clear"/>
            <w:tcMar>
              <w:top w:w="50" w:type="dxa"/>
              <w:left w:w="50" w:type="dxa"/>
              <w:bottom w:w="50" w:type="dxa"/>
              <w:right w:w="50" w:type="dxa"/>
            </w:tcMar>
          </w:tcPr>
          <w:p>
            <w:pPr>
              <w:spacing w:before="20" w:after="20"/>
            </w:pPr>
            <w:r/>
            <w:r>
              <w:rPr>
                <w:rFonts w:ascii="Calibri" w:hAnsi="Calibri"/>
                <w:b w:val="0"/>
                <w:i w:val="0"/>
                <w:color w:val="333A45"/>
                <w:sz w:val="16"/>
              </w:rPr>
              <w:t>GYMTRACE is available through gym hours, from 5:00 AM to 11:00 PM.</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RE-3</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If the camera misses a face or the network drops, GYMTRACE still tells me what to do next.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FFFFF" w:val="clear"/>
            <w:tcMar>
              <w:top w:w="50" w:type="dxa"/>
              <w:left w:w="50" w:type="dxa"/>
              <w:bottom w:w="50" w:type="dxa"/>
              <w:right w:w="50" w:type="dxa"/>
            </w:tcMar>
          </w:tcPr>
          <w:p>
            <w:pPr>
              <w:spacing w:before="20" w:after="20"/>
              <w:jc w:val="center"/>
            </w:pPr>
            <w:r/>
            <w:r>
              <w:rPr>
                <w:rFonts w:ascii="Calibri" w:hAnsi="Calibri"/>
                <w:b/>
                <w:i w:val="0"/>
                <w:color w:val="1B2A4A"/>
                <w:sz w:val="16"/>
              </w:rPr>
              <w:t>RE-4</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Tech</w:t>
            </w:r>
          </w:p>
        </w:tc>
        <w:tc>
          <w:tcPr>
            <w:tcW w:type="dxa" w:w="1331"/>
            <w:shd w:fill="FFFFFF" w:val="clear"/>
            <w:tcMar>
              <w:top w:w="50" w:type="dxa"/>
              <w:left w:w="50" w:type="dxa"/>
              <w:bottom w:w="50" w:type="dxa"/>
              <w:right w:w="50" w:type="dxa"/>
            </w:tcMar>
          </w:tcPr>
          <w:p>
            <w:pPr>
              <w:spacing w:before="20" w:after="20"/>
            </w:pPr>
            <w:r/>
            <w:r>
              <w:rPr>
                <w:rFonts w:ascii="Calibri" w:hAnsi="Calibri"/>
                <w:b w:val="0"/>
                <w:i w:val="0"/>
                <w:color w:val="333A45"/>
                <w:sz w:val="16"/>
              </w:rPr>
              <w:t>After a failed scan or a failed day-pass payment, I can try again without losing the member record or the pass that was already saved.</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bl>
    <w:p>
      <w:pPr>
        <w:spacing w:after="120"/>
      </w:pPr>
    </w:p>
    <w:p>
      <w:pPr>
        <w:pStyle w:val="Heading2"/>
      </w:pPr>
      <w:r>
        <w:rPr>
          <w:rFonts w:ascii="Calibri" w:hAnsi="Calibri"/>
          <w:color w:val="1B2A4A"/>
        </w:rPr>
        <w:t>4.6 Security</w:t>
      </w:r>
    </w:p>
    <w:p>
      <w:pPr>
        <w:spacing w:before="0" w:after="80" w:line="259" w:lineRule="auto"/>
      </w:pPr>
      <w:r>
        <w:rPr>
          <w:rFonts w:ascii="Calibri" w:hAnsi="Calibri"/>
          <w:b w:val="0"/>
          <w:i/>
          <w:sz w:val="20"/>
        </w:rPr>
        <w:t>Degree to which GYMTRACE protects information and data so that persons or other products have the degree of data access appropriate to their types and levels of authorization.</w:t>
      </w:r>
    </w:p>
    <w:tbl>
      <w:tblPr>
        <w:tblStyle w:val="TableGrid"/>
        <w:tblW w:type="auto" w:w="0"/>
        <w:tblLook w:firstColumn="1" w:firstRow="1" w:lastColumn="0" w:lastRow="0" w:noHBand="0" w:noVBand="1" w:val="04A0"/>
      </w:tblPr>
      <w:tblGrid>
        <w:gridCol w:w="1331"/>
        <w:gridCol w:w="1331"/>
        <w:gridCol w:w="1331"/>
        <w:gridCol w:w="1331"/>
        <w:gridCol w:w="1331"/>
        <w:gridCol w:w="1331"/>
        <w:gridCol w:w="1331"/>
        <w:gridCol w:w="1331"/>
      </w:tblGrid>
      <w:tr>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Item</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Who</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Statement — adapted to GYMTRACE</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5</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4</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3</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2</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1</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SE-1</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Tech</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Member names, contact numbers, and face data are shown only to the roles that are allowed to see them.</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FFFFF" w:val="clear"/>
            <w:tcMar>
              <w:top w:w="50" w:type="dxa"/>
              <w:left w:w="50" w:type="dxa"/>
              <w:bottom w:w="50" w:type="dxa"/>
              <w:right w:w="50" w:type="dxa"/>
            </w:tcMar>
          </w:tcPr>
          <w:p>
            <w:pPr>
              <w:spacing w:before="20" w:after="20"/>
              <w:jc w:val="center"/>
            </w:pPr>
            <w:r/>
            <w:r>
              <w:rPr>
                <w:rFonts w:ascii="Calibri" w:hAnsi="Calibri"/>
                <w:b/>
                <w:i w:val="0"/>
                <w:color w:val="1B2A4A"/>
                <w:sz w:val="16"/>
              </w:rPr>
              <w:t>SE-2</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Tech</w:t>
            </w:r>
          </w:p>
        </w:tc>
        <w:tc>
          <w:tcPr>
            <w:tcW w:type="dxa" w:w="1331"/>
            <w:shd w:fill="FFFFFF" w:val="clear"/>
            <w:tcMar>
              <w:top w:w="50" w:type="dxa"/>
              <w:left w:w="50" w:type="dxa"/>
              <w:bottom w:w="50" w:type="dxa"/>
              <w:right w:w="50" w:type="dxa"/>
            </w:tcMar>
          </w:tcPr>
          <w:p>
            <w:pPr>
              <w:spacing w:before="20" w:after="20"/>
            </w:pPr>
            <w:r/>
            <w:r>
              <w:rPr>
                <w:rFonts w:ascii="Calibri" w:hAnsi="Calibri"/>
                <w:b w:val="0"/>
                <w:i w:val="0"/>
                <w:color w:val="333A45"/>
                <w:sz w:val="16"/>
              </w:rPr>
              <w:t>Attendance and membership records change only through an authorized action, not by an outside edit.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SE-3</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Tech</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A check-in, a check-out, a manual override, or a day-pass sale can be traced to the event that created it.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FFFFF" w:val="clear"/>
            <w:tcMar>
              <w:top w:w="50" w:type="dxa"/>
              <w:left w:w="50" w:type="dxa"/>
              <w:bottom w:w="50" w:type="dxa"/>
              <w:right w:w="50" w:type="dxa"/>
            </w:tcMar>
          </w:tcPr>
          <w:p>
            <w:pPr>
              <w:spacing w:before="20" w:after="20"/>
              <w:jc w:val="center"/>
            </w:pPr>
            <w:r/>
            <w:r>
              <w:rPr>
                <w:rFonts w:ascii="Calibri" w:hAnsi="Calibri"/>
                <w:b/>
                <w:i w:val="0"/>
                <w:color w:val="1B2A4A"/>
                <w:sz w:val="16"/>
              </w:rPr>
              <w:t>SE-4</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Tech</w:t>
            </w:r>
          </w:p>
        </w:tc>
        <w:tc>
          <w:tcPr>
            <w:tcW w:type="dxa" w:w="1331"/>
            <w:shd w:fill="FFFFFF" w:val="clear"/>
            <w:tcMar>
              <w:top w:w="50" w:type="dxa"/>
              <w:left w:w="50" w:type="dxa"/>
              <w:bottom w:w="50" w:type="dxa"/>
              <w:right w:w="50" w:type="dxa"/>
            </w:tcMar>
          </w:tcPr>
          <w:p>
            <w:pPr>
              <w:spacing w:before="20" w:after="20"/>
            </w:pPr>
            <w:r/>
            <w:r>
              <w:rPr>
                <w:rFonts w:ascii="Calibri" w:hAnsi="Calibri"/>
                <w:b w:val="0"/>
                <w:i w:val="0"/>
                <w:color w:val="333A45"/>
                <w:sz w:val="16"/>
              </w:rPr>
              <w:t>A staff or admin action can be traced to the role that performed it.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SE-5</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GYMTRACE accepts only a real enrolled member, a valid day-pass code, or the correct staff or admin PIN.</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bl>
    <w:p>
      <w:pPr>
        <w:spacing w:after="120"/>
      </w:pPr>
    </w:p>
    <w:p>
      <w:pPr>
        <w:pStyle w:val="Heading2"/>
      </w:pPr>
      <w:r>
        <w:rPr>
          <w:rFonts w:ascii="Calibri" w:hAnsi="Calibri"/>
          <w:color w:val="1B2A4A"/>
        </w:rPr>
        <w:t>4.7 Maintainability</w:t>
      </w:r>
    </w:p>
    <w:p>
      <w:pPr>
        <w:spacing w:before="0" w:after="80" w:line="259" w:lineRule="auto"/>
      </w:pPr>
      <w:r>
        <w:rPr>
          <w:rFonts w:ascii="Calibri" w:hAnsi="Calibri"/>
          <w:b w:val="0"/>
          <w:i/>
          <w:sz w:val="20"/>
        </w:rPr>
        <w:t>Degree of effectiveness and efficiency with which GYMTRACE can be modified by the intended maintainers.</w:t>
      </w:r>
    </w:p>
    <w:tbl>
      <w:tblPr>
        <w:tblStyle w:val="TableGrid"/>
        <w:tblW w:type="auto" w:w="0"/>
        <w:tblLook w:firstColumn="1" w:firstRow="1" w:lastColumn="0" w:lastRow="0" w:noHBand="0" w:noVBand="1" w:val="04A0"/>
      </w:tblPr>
      <w:tblGrid>
        <w:gridCol w:w="1331"/>
        <w:gridCol w:w="1331"/>
        <w:gridCol w:w="1331"/>
        <w:gridCol w:w="1331"/>
        <w:gridCol w:w="1331"/>
        <w:gridCol w:w="1331"/>
        <w:gridCol w:w="1331"/>
        <w:gridCol w:w="1331"/>
      </w:tblGrid>
      <w:tr>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Item</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Who</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Statement — adapted to GYMTRACE</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5</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4</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3</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2</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1</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MA-1</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Tech</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A change to day passes, face check-in, or reports can be made in that part of GYMTRACE without rewriting the rest.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FFFFF" w:val="clear"/>
            <w:tcMar>
              <w:top w:w="50" w:type="dxa"/>
              <w:left w:w="50" w:type="dxa"/>
              <w:bottom w:w="50" w:type="dxa"/>
              <w:right w:w="50" w:type="dxa"/>
            </w:tcMar>
          </w:tcPr>
          <w:p>
            <w:pPr>
              <w:spacing w:before="20" w:after="20"/>
              <w:jc w:val="center"/>
            </w:pPr>
            <w:r/>
            <w:r>
              <w:rPr>
                <w:rFonts w:ascii="Calibri" w:hAnsi="Calibri"/>
                <w:b/>
                <w:i w:val="0"/>
                <w:color w:val="1B2A4A"/>
                <w:sz w:val="16"/>
              </w:rPr>
              <w:t>MA-2</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Tech</w:t>
            </w:r>
          </w:p>
        </w:tc>
        <w:tc>
          <w:tcPr>
            <w:tcW w:type="dxa" w:w="1331"/>
            <w:shd w:fill="FFFFFF" w:val="clear"/>
            <w:tcMar>
              <w:top w:w="50" w:type="dxa"/>
              <w:left w:w="50" w:type="dxa"/>
              <w:bottom w:w="50" w:type="dxa"/>
              <w:right w:w="50" w:type="dxa"/>
            </w:tcMar>
          </w:tcPr>
          <w:p>
            <w:pPr>
              <w:spacing w:before="20" w:after="20"/>
            </w:pPr>
            <w:r/>
            <w:r>
              <w:rPr>
                <w:rFonts w:ascii="Calibri" w:hAnsi="Calibri"/>
                <w:b w:val="0"/>
                <w:i w:val="0"/>
                <w:color w:val="333A45"/>
                <w:sz w:val="16"/>
              </w:rPr>
              <w:t>Pieces such as the PIN gate and the attendance log can be reused if a second branch is added later.</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MA-3</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Tech</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When a check-in fails, the message and the log are enough to find the cause.</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FFFFF" w:val="clear"/>
            <w:tcMar>
              <w:top w:w="50" w:type="dxa"/>
              <w:left w:w="50" w:type="dxa"/>
              <w:bottom w:w="50" w:type="dxa"/>
              <w:right w:w="50" w:type="dxa"/>
            </w:tcMar>
          </w:tcPr>
          <w:p>
            <w:pPr>
              <w:spacing w:before="20" w:after="20"/>
              <w:jc w:val="center"/>
            </w:pPr>
            <w:r/>
            <w:r>
              <w:rPr>
                <w:rFonts w:ascii="Calibri" w:hAnsi="Calibri"/>
                <w:b/>
                <w:i w:val="0"/>
                <w:color w:val="1B2A4A"/>
                <w:sz w:val="16"/>
              </w:rPr>
              <w:t>MA-4</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Tech</w:t>
            </w:r>
          </w:p>
        </w:tc>
        <w:tc>
          <w:tcPr>
            <w:tcW w:type="dxa" w:w="1331"/>
            <w:shd w:fill="FFFFFF" w:val="clear"/>
            <w:tcMar>
              <w:top w:w="50" w:type="dxa"/>
              <w:left w:w="50" w:type="dxa"/>
              <w:bottom w:w="50" w:type="dxa"/>
              <w:right w:w="50" w:type="dxa"/>
            </w:tcMar>
          </w:tcPr>
          <w:p>
            <w:pPr>
              <w:spacing w:before="20" w:after="20"/>
            </w:pPr>
            <w:r/>
            <w:r>
              <w:rPr>
                <w:rFonts w:ascii="Calibri" w:hAnsi="Calibri"/>
                <w:b w:val="0"/>
                <w:i w:val="0"/>
                <w:color w:val="333A45"/>
                <w:sz w:val="16"/>
              </w:rPr>
              <w:t>The match rule, a membership status, or the day-pass price can be changed without rebuilding the whole system.</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MA-5</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Tech</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Check-in, the day pass, and the forecast can each be tested against a clear expected result.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bl>
    <w:p>
      <w:pPr>
        <w:spacing w:after="120"/>
      </w:pPr>
    </w:p>
    <w:p>
      <w:pPr>
        <w:pStyle w:val="Heading2"/>
      </w:pPr>
      <w:r>
        <w:rPr>
          <w:rFonts w:ascii="Calibri" w:hAnsi="Calibri"/>
          <w:color w:val="1B2A4A"/>
        </w:rPr>
        <w:t>4.8 Portability</w:t>
      </w:r>
    </w:p>
    <w:p>
      <w:pPr>
        <w:spacing w:before="0" w:after="80" w:line="259" w:lineRule="auto"/>
      </w:pPr>
      <w:r>
        <w:rPr>
          <w:rFonts w:ascii="Calibri" w:hAnsi="Calibri"/>
          <w:b w:val="0"/>
          <w:i/>
          <w:sz w:val="20"/>
        </w:rPr>
        <w:t>Degree of effectiveness and efficiency with which GYMTRACE can be transferred from one hardware, software, or other operational environment to another.</w:t>
      </w:r>
    </w:p>
    <w:tbl>
      <w:tblPr>
        <w:tblStyle w:val="TableGrid"/>
        <w:tblW w:type="auto" w:w="0"/>
        <w:tblLook w:firstColumn="1" w:firstRow="1" w:lastColumn="0" w:lastRow="0" w:noHBand="0" w:noVBand="1" w:val="04A0"/>
      </w:tblPr>
      <w:tblGrid>
        <w:gridCol w:w="1331"/>
        <w:gridCol w:w="1331"/>
        <w:gridCol w:w="1331"/>
        <w:gridCol w:w="1331"/>
        <w:gridCol w:w="1331"/>
        <w:gridCol w:w="1331"/>
        <w:gridCol w:w="1331"/>
        <w:gridCol w:w="1331"/>
      </w:tblGrid>
      <w:tr>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Item</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Who</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Statement — adapted to GYMTRACE</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5</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4</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3</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2</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1</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PO-1</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Tech</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GYMTRACE can be adjusted for another floor capacity or another set of opening hours.</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FFFFF" w:val="clear"/>
            <w:tcMar>
              <w:top w:w="50" w:type="dxa"/>
              <w:left w:w="50" w:type="dxa"/>
              <w:bottom w:w="50" w:type="dxa"/>
              <w:right w:w="50" w:type="dxa"/>
            </w:tcMar>
          </w:tcPr>
          <w:p>
            <w:pPr>
              <w:spacing w:before="20" w:after="20"/>
              <w:jc w:val="center"/>
            </w:pPr>
            <w:r/>
            <w:r>
              <w:rPr>
                <w:rFonts w:ascii="Calibri" w:hAnsi="Calibri"/>
                <w:b/>
                <w:i w:val="0"/>
                <w:color w:val="1B2A4A"/>
                <w:sz w:val="16"/>
              </w:rPr>
              <w:t>PO-2</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Tech</w:t>
            </w:r>
          </w:p>
        </w:tc>
        <w:tc>
          <w:tcPr>
            <w:tcW w:type="dxa" w:w="1331"/>
            <w:shd w:fill="FFFFFF" w:val="clear"/>
            <w:tcMar>
              <w:top w:w="50" w:type="dxa"/>
              <w:left w:w="50" w:type="dxa"/>
              <w:bottom w:w="50" w:type="dxa"/>
              <w:right w:w="50" w:type="dxa"/>
            </w:tcMar>
          </w:tcPr>
          <w:p>
            <w:pPr>
              <w:spacing w:before="20" w:after="20"/>
            </w:pPr>
            <w:r/>
            <w:r>
              <w:rPr>
                <w:rFonts w:ascii="Calibri" w:hAnsi="Calibri"/>
                <w:b w:val="0"/>
                <w:i w:val="0"/>
                <w:color w:val="333A45"/>
                <w:sz w:val="16"/>
              </w:rPr>
              <w:t>GYMTRACE can be installed and opened on the lobby and desk computers used at the Bajada branch.</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PO-3</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Tech</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For the tasks it covers, GYMTRACE can replace the handwritten attendance log.</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bl>
    <w:p>
      <w:pPr>
        <w:spacing w:after="120"/>
      </w:pPr>
    </w:p>
    <w:p>
      <w:pPr>
        <w:pStyle w:val="Heading1"/>
      </w:pPr>
      <w:r>
        <w:rPr>
          <w:rFonts w:ascii="Calibri" w:hAnsi="Calibri"/>
          <w:color w:val="1B2A4A"/>
        </w:rPr>
        <w:t>5. Part B — Quality in use (ISO/IEC 25010:2011, clause 4.1)</w:t>
      </w:r>
    </w:p>
    <w:p>
      <w:pPr>
        <w:spacing w:before="0" w:after="120" w:line="259" w:lineRule="auto"/>
      </w:pPr>
      <w:r>
        <w:rPr>
          <w:rFonts w:ascii="Calibri" w:hAnsi="Calibri"/>
          <w:b w:val="0"/>
          <w:i w:val="0"/>
          <w:sz w:val="20"/>
        </w:rPr>
        <w:t>Quality in use is the degree to which GYMTRACE can be used by specific people to meet their needs in this gym. Every respondent answers Part B. These items are now maintained in ISO/IEC 25019:2023; the wording here still follows the 2011 clause that this instrument adopts.</w:t>
      </w:r>
    </w:p>
    <w:tbl>
      <w:tblPr>
        <w:tblStyle w:val="TableGrid"/>
        <w:tblW w:type="auto" w:w="0"/>
        <w:tblLook w:firstColumn="1" w:firstRow="1" w:lastColumn="0" w:lastRow="0" w:noHBand="0" w:noVBand="1" w:val="04A0"/>
      </w:tblPr>
      <w:tblGrid>
        <w:gridCol w:w="1331"/>
        <w:gridCol w:w="1331"/>
        <w:gridCol w:w="1331"/>
        <w:gridCol w:w="1331"/>
        <w:gridCol w:w="1331"/>
        <w:gridCol w:w="1331"/>
        <w:gridCol w:w="1331"/>
        <w:gridCol w:w="1331"/>
      </w:tblGrid>
      <w:tr>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Item</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Who</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Statement — adapted to GYMTRACE</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5</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4</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3</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2</w:t>
            </w:r>
          </w:p>
        </w:tc>
        <w:tc>
          <w:tcPr>
            <w:tcW w:type="dxa" w:w="1331"/>
            <w:shd w:fill="1B2A4A" w:val="clear"/>
            <w:tcMar>
              <w:top w:w="50" w:type="dxa"/>
              <w:left w:w="50" w:type="dxa"/>
              <w:bottom w:w="50" w:type="dxa"/>
              <w:right w:w="50" w:type="dxa"/>
            </w:tcMar>
          </w:tcPr>
          <w:p>
            <w:pPr>
              <w:spacing w:before="20" w:after="20"/>
              <w:jc w:val="center"/>
            </w:pPr>
            <w:r/>
            <w:r>
              <w:rPr>
                <w:rFonts w:ascii="Calibri" w:hAnsi="Calibri"/>
                <w:b/>
                <w:i w:val="0"/>
                <w:color w:val="FFFFFF"/>
                <w:sz w:val="16"/>
              </w:rPr>
              <w:t>1</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QI-1</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I can complete the goal I came for: enter the gym, buy a day pass, check who is inside, or see how busy the floor will be.</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FFFFF" w:val="clear"/>
            <w:tcMar>
              <w:top w:w="50" w:type="dxa"/>
              <w:left w:w="50" w:type="dxa"/>
              <w:bottom w:w="50" w:type="dxa"/>
              <w:right w:w="50" w:type="dxa"/>
            </w:tcMar>
          </w:tcPr>
          <w:p>
            <w:pPr>
              <w:spacing w:before="20" w:after="20"/>
              <w:jc w:val="center"/>
            </w:pPr>
            <w:r/>
            <w:r>
              <w:rPr>
                <w:rFonts w:ascii="Calibri" w:hAnsi="Calibri"/>
                <w:b/>
                <w:i w:val="0"/>
                <w:color w:val="1B2A4A"/>
                <w:sz w:val="16"/>
              </w:rPr>
              <w:t>QI-2</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FFFFF" w:val="clear"/>
            <w:tcMar>
              <w:top w:w="50" w:type="dxa"/>
              <w:left w:w="50" w:type="dxa"/>
              <w:bottom w:w="50" w:type="dxa"/>
              <w:right w:w="50" w:type="dxa"/>
            </w:tcMar>
          </w:tcPr>
          <w:p>
            <w:pPr>
              <w:spacing w:before="20" w:after="20"/>
            </w:pPr>
            <w:r/>
            <w:r>
              <w:rPr>
                <w:rFonts w:ascii="Calibri" w:hAnsi="Calibri"/>
                <w:b w:val="0"/>
                <w:i w:val="0"/>
                <w:color w:val="333A45"/>
                <w:sz w:val="16"/>
              </w:rPr>
              <w:t>I can do that without wasting time at the door or at the desk.</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QI-3</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GYMTRACE is useful for the job Peakline Gym adopted it to do.</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FFFFF" w:val="clear"/>
            <w:tcMar>
              <w:top w:w="50" w:type="dxa"/>
              <w:left w:w="50" w:type="dxa"/>
              <w:bottom w:w="50" w:type="dxa"/>
              <w:right w:w="50" w:type="dxa"/>
            </w:tcMar>
          </w:tcPr>
          <w:p>
            <w:pPr>
              <w:spacing w:before="20" w:after="20"/>
              <w:jc w:val="center"/>
            </w:pPr>
            <w:r/>
            <w:r>
              <w:rPr>
                <w:rFonts w:ascii="Calibri" w:hAnsi="Calibri"/>
                <w:b/>
                <w:i w:val="0"/>
                <w:color w:val="1B2A4A"/>
                <w:sz w:val="16"/>
              </w:rPr>
              <w:t>QI-4</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FFFFF" w:val="clear"/>
            <w:tcMar>
              <w:top w:w="50" w:type="dxa"/>
              <w:left w:w="50" w:type="dxa"/>
              <w:bottom w:w="50" w:type="dxa"/>
              <w:right w:w="50" w:type="dxa"/>
            </w:tcMar>
          </w:tcPr>
          <w:p>
            <w:pPr>
              <w:spacing w:before="20" w:after="20"/>
            </w:pPr>
            <w:r/>
            <w:r>
              <w:rPr>
                <w:rFonts w:ascii="Calibri" w:hAnsi="Calibri"/>
                <w:b w:val="0"/>
                <w:i w:val="0"/>
                <w:color w:val="333A45"/>
                <w:sz w:val="16"/>
              </w:rPr>
              <w:t>I trust the check-in decision and the crowd forecast to behave as intended.</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QI-5</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Using GYMTRACE is pleasant enough that I would use it again on my next visit or shift.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FFFFF" w:val="clear"/>
            <w:tcMar>
              <w:top w:w="50" w:type="dxa"/>
              <w:left w:w="50" w:type="dxa"/>
              <w:bottom w:w="50" w:type="dxa"/>
              <w:right w:w="50" w:type="dxa"/>
            </w:tcMar>
          </w:tcPr>
          <w:p>
            <w:pPr>
              <w:spacing w:before="20" w:after="20"/>
              <w:jc w:val="center"/>
            </w:pPr>
            <w:r/>
            <w:r>
              <w:rPr>
                <w:rFonts w:ascii="Calibri" w:hAnsi="Calibri"/>
                <w:b/>
                <w:i w:val="0"/>
                <w:color w:val="1B2A4A"/>
                <w:sz w:val="16"/>
              </w:rPr>
              <w:t>QI-6</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FFFFF" w:val="clear"/>
            <w:tcMar>
              <w:top w:w="50" w:type="dxa"/>
              <w:left w:w="50" w:type="dxa"/>
              <w:bottom w:w="50" w:type="dxa"/>
              <w:right w:w="50" w:type="dxa"/>
            </w:tcMar>
          </w:tcPr>
          <w:p>
            <w:pPr>
              <w:spacing w:before="20" w:after="20"/>
            </w:pPr>
            <w:r/>
            <w:r>
              <w:rPr>
                <w:rFonts w:ascii="Calibri" w:hAnsi="Calibri"/>
                <w:b w:val="0"/>
                <w:i w:val="0"/>
                <w:color w:val="333A45"/>
                <w:sz w:val="16"/>
              </w:rPr>
              <w:t>The kiosk and the desk screens are physically comfortable to look at and operate.</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QI-7</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GYMTRACE lowers the chance of an unpaid or expired entry, or of a day-pass sale that is not recorded.</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FFFFF" w:val="clear"/>
            <w:tcMar>
              <w:top w:w="50" w:type="dxa"/>
              <w:left w:w="50" w:type="dxa"/>
              <w:bottom w:w="50" w:type="dxa"/>
              <w:right w:w="50" w:type="dxa"/>
            </w:tcMar>
          </w:tcPr>
          <w:p>
            <w:pPr>
              <w:spacing w:before="20" w:after="20"/>
              <w:jc w:val="center"/>
            </w:pPr>
            <w:r/>
            <w:r>
              <w:rPr>
                <w:rFonts w:ascii="Calibri" w:hAnsi="Calibri"/>
                <w:b/>
                <w:i w:val="0"/>
                <w:color w:val="1B2A4A"/>
                <w:sz w:val="16"/>
              </w:rPr>
              <w:t>QI-8</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FFFFF" w:val="clear"/>
            <w:tcMar>
              <w:top w:w="50" w:type="dxa"/>
              <w:left w:w="50" w:type="dxa"/>
              <w:bottom w:w="50" w:type="dxa"/>
              <w:right w:w="50" w:type="dxa"/>
            </w:tcMar>
          </w:tcPr>
          <w:p>
            <w:pPr>
              <w:spacing w:before="20" w:after="20"/>
            </w:pPr>
            <w:r/>
            <w:r>
              <w:rPr>
                <w:rFonts w:ascii="Calibri" w:hAnsi="Calibri"/>
                <w:b w:val="0"/>
                <w:i w:val="0"/>
                <w:color w:val="333A45"/>
                <w:sz w:val="16"/>
              </w:rPr>
              <w:t>The check-in step does not create a dangerous crush at the entrance.</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QI-9</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Recording the visit in GYMTRACE avoids a paper log for that visit.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FFFFF" w:val="clear"/>
            <w:tcMar>
              <w:top w:w="50" w:type="dxa"/>
              <w:left w:w="50" w:type="dxa"/>
              <w:bottom w:w="50" w:type="dxa"/>
              <w:right w:w="50" w:type="dxa"/>
            </w:tcMar>
          </w:tcPr>
          <w:p>
            <w:pPr>
              <w:spacing w:before="20" w:after="20"/>
              <w:jc w:val="center"/>
            </w:pPr>
            <w:r/>
            <w:r>
              <w:rPr>
                <w:rFonts w:ascii="Calibri" w:hAnsi="Calibri"/>
                <w:b/>
                <w:i w:val="0"/>
                <w:color w:val="1B2A4A"/>
                <w:sz w:val="16"/>
              </w:rPr>
              <w:t>QI-10</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FFFFF" w:val="clear"/>
            <w:tcMar>
              <w:top w:w="50" w:type="dxa"/>
              <w:left w:w="50" w:type="dxa"/>
              <w:bottom w:w="50" w:type="dxa"/>
              <w:right w:w="50" w:type="dxa"/>
            </w:tcMar>
          </w:tcPr>
          <w:p>
            <w:pPr>
              <w:spacing w:before="20" w:after="20"/>
            </w:pPr>
            <w:r/>
            <w:r>
              <w:rPr>
                <w:rFonts w:ascii="Calibri" w:hAnsi="Calibri"/>
                <w:b w:val="0"/>
                <w:i w:val="0"/>
                <w:color w:val="333A45"/>
                <w:sz w:val="16"/>
              </w:rPr>
              <w:t>GYMTRACE works for a member, a day-pass guest, and the front desk, both in a quiet hour and in the evening rush.</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FFFFF"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r>
        <w:tc>
          <w:tcPr>
            <w:tcW w:type="dxa" w:w="1331"/>
            <w:shd w:fill="F7F8FA" w:val="clear"/>
            <w:tcMar>
              <w:top w:w="50" w:type="dxa"/>
              <w:left w:w="50" w:type="dxa"/>
              <w:bottom w:w="50" w:type="dxa"/>
              <w:right w:w="50" w:type="dxa"/>
            </w:tcMar>
          </w:tcPr>
          <w:p>
            <w:pPr>
              <w:spacing w:before="20" w:after="20"/>
              <w:jc w:val="center"/>
            </w:pPr>
            <w:r/>
            <w:r>
              <w:rPr>
                <w:rFonts w:ascii="Calibri" w:hAnsi="Calibri"/>
                <w:b/>
                <w:i w:val="0"/>
                <w:color w:val="1B2A4A"/>
                <w:sz w:val="16"/>
              </w:rPr>
              <w:t>QI-11</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All</w:t>
            </w:r>
          </w:p>
        </w:tc>
        <w:tc>
          <w:tcPr>
            <w:tcW w:type="dxa" w:w="1331"/>
            <w:shd w:fill="F7F8FA" w:val="clear"/>
            <w:tcMar>
              <w:top w:w="50" w:type="dxa"/>
              <w:left w:w="50" w:type="dxa"/>
              <w:bottom w:w="50" w:type="dxa"/>
              <w:right w:w="50" w:type="dxa"/>
            </w:tcMar>
          </w:tcPr>
          <w:p>
            <w:pPr>
              <w:spacing w:before="20" w:after="20"/>
            </w:pPr>
            <w:r/>
            <w:r>
              <w:rPr>
                <w:rFonts w:ascii="Calibri" w:hAnsi="Calibri"/>
                <w:b w:val="0"/>
                <w:i w:val="0"/>
                <w:color w:val="333A45"/>
                <w:sz w:val="16"/>
              </w:rPr>
              <w:t>GYMTRACE still helps a person it was not first written for, such as a coach who only needs the crowd level, or a guest who must not have a stored face.</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c>
          <w:tcPr>
            <w:tcW w:type="dxa" w:w="1331"/>
            <w:shd w:fill="F7F8FA" w:val="clear"/>
            <w:tcMar>
              <w:top w:w="50" w:type="dxa"/>
              <w:left w:w="50" w:type="dxa"/>
              <w:bottom w:w="50" w:type="dxa"/>
              <w:right w:w="50" w:type="dxa"/>
            </w:tcMar>
          </w:tcPr>
          <w:p>
            <w:pPr>
              <w:spacing w:before="20" w:after="20"/>
              <w:jc w:val="center"/>
            </w:pPr>
            <w:r/>
            <w:r>
              <w:rPr>
                <w:rFonts w:ascii="Calibri" w:hAnsi="Calibri"/>
                <w:b w:val="0"/>
                <w:i w:val="0"/>
                <w:color w:val="333A45"/>
                <w:sz w:val="16"/>
              </w:rPr>
              <w:t>☐</w:t>
            </w:r>
          </w:p>
        </w:tc>
      </w:tr>
    </w:tbl>
    <w:p>
      <w:pPr>
        <w:spacing w:after="120"/>
      </w:pPr>
    </w:p>
    <w:p>
      <w:pPr>
        <w:spacing w:before="40" w:after="40" w:line="259" w:lineRule="auto"/>
      </w:pPr>
      <w:r>
        <w:rPr>
          <w:rFonts w:ascii="Calibri" w:hAnsi="Calibri"/>
          <w:b/>
          <w:i w:val="0"/>
          <w:sz w:val="22"/>
        </w:rPr>
        <w:t>Comments</w:t>
      </w:r>
    </w:p>
    <w:p>
      <w:pPr>
        <w:spacing w:before="0" w:after="120" w:line="259" w:lineRule="auto"/>
      </w:pPr>
      <w:r>
        <w:rPr>
          <w:rFonts w:ascii="Calibri" w:hAnsi="Calibri"/>
          <w:b w:val="0"/>
          <w:i w:val="0"/>
          <w:sz w:val="22"/>
        </w:rPr>
        <w:t>Write anything the scores do not capture. Include the item number if you are commenting on one statement.</w:t>
      </w:r>
    </w:p>
    <w:p>
      <w:pPr>
        <w:spacing w:before="0" w:after="120" w:line="259" w:lineRule="auto"/>
      </w:pPr>
      <w:r>
        <w:rPr>
          <w:rFonts w:ascii="Calibri" w:hAnsi="Calibri"/>
          <w:b w:val="0"/>
          <w:i w:val="0"/>
          <w:sz w:val="22"/>
        </w:rPr>
        <w:t>________________________________________________________________</w:t>
      </w:r>
    </w:p>
    <w:p>
      <w:pPr>
        <w:spacing w:before="0" w:after="120" w:line="259" w:lineRule="auto"/>
      </w:pPr>
      <w:r>
        <w:rPr>
          <w:rFonts w:ascii="Calibri" w:hAnsi="Calibri"/>
          <w:b w:val="0"/>
          <w:i w:val="0"/>
          <w:sz w:val="22"/>
        </w:rPr>
        <w:t>________________________________________________________________</w:t>
      </w:r>
    </w:p>
    <w:p>
      <w:pPr>
        <w:spacing w:before="0" w:after="120" w:line="259" w:lineRule="auto"/>
      </w:pPr>
      <w:r>
        <w:rPr>
          <w:rFonts w:ascii="Calibri" w:hAnsi="Calibri"/>
          <w:b w:val="0"/>
          <w:i w:val="0"/>
          <w:sz w:val="22"/>
        </w:rPr>
        <w:t>________________________________________________________________</w:t>
      </w:r>
    </w:p>
    <w:p>
      <w:pPr>
        <w:pStyle w:val="Heading1"/>
      </w:pPr>
      <w:r>
        <w:rPr>
          <w:rFonts w:ascii="Calibri" w:hAnsi="Calibri"/>
          <w:color w:val="1B2A4A"/>
        </w:rPr>
        <w:t>6. Score sheet (filled after collection)</w:t>
      </w:r>
    </w:p>
    <w:p>
      <w:pPr>
        <w:spacing w:before="0" w:after="120" w:line="259" w:lineRule="auto"/>
      </w:pPr>
      <w:r>
        <w:rPr>
          <w:rFonts w:ascii="Calibri" w:hAnsi="Calibri"/>
          <w:b w:val="0"/>
          <w:i w:val="0"/>
          <w:sz w:val="22"/>
        </w:rPr>
        <w:t>Leave this blank on the form that the respondent answers. The evaluator completes it from the ticked scores.</w:t>
      </w:r>
    </w:p>
    <w:tbl>
      <w:tblPr>
        <w:tblStyle w:val="TableGrid"/>
        <w:tblW w:type="auto" w:w="0"/>
        <w:tblLook w:firstColumn="1" w:firstRow="1" w:lastColumn="0" w:lastRow="0" w:noHBand="0" w:noVBand="1" w:val="04A0"/>
      </w:tblPr>
      <w:tblGrid>
        <w:gridCol w:w="2663"/>
        <w:gridCol w:w="2663"/>
        <w:gridCol w:w="2663"/>
        <w:gridCol w:w="2663"/>
      </w:tblGrid>
      <w:tr>
        <w:tc>
          <w:tcPr>
            <w:tcW w:type="dxa" w:w="2663"/>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Characteristic</w:t>
            </w:r>
          </w:p>
        </w:tc>
        <w:tc>
          <w:tcPr>
            <w:tcW w:type="dxa" w:w="2663"/>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Items</w:t>
            </w:r>
          </w:p>
        </w:tc>
        <w:tc>
          <w:tcPr>
            <w:tcW w:type="dxa" w:w="2663"/>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Mean</w:t>
            </w:r>
          </w:p>
        </w:tc>
        <w:tc>
          <w:tcPr>
            <w:tcW w:type="dxa" w:w="2663"/>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Interpretation</w:t>
            </w:r>
          </w:p>
        </w:tc>
      </w:tr>
      <w:tr>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Functional suitability</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FS-1 to FS-3</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r>
          </w:p>
        </w:tc>
      </w:tr>
      <w:tr>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t>Performance efficiency</w:t>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t>PE-1 to PE-3</w:t>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r>
          </w:p>
        </w:tc>
      </w:tr>
      <w:tr>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Compatibility</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CO-1 to CO-2</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r>
          </w:p>
        </w:tc>
      </w:tr>
      <w:tr>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t>Usability</w:t>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t>US-1 to US-6</w:t>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r>
          </w:p>
        </w:tc>
      </w:tr>
      <w:tr>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Reliability</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RE-1 to RE-4</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r>
          </w:p>
        </w:tc>
      </w:tr>
      <w:tr>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t>Security</w:t>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t>SE-1 to SE-5</w:t>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r>
          </w:p>
        </w:tc>
      </w:tr>
      <w:tr>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Maintainability</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MA-1 to MA-5</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r>
          </w:p>
        </w:tc>
      </w:tr>
      <w:tr>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t>Portability</w:t>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t>PO-1 to PO-3</w:t>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r>
          </w:p>
        </w:tc>
      </w:tr>
      <w:tr>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Product quality (mean of the eight means)</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Part A</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r>
          </w:p>
        </w:tc>
      </w:tr>
      <w:tr>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t>Quality in use</w:t>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t>QI-1 to QI-11</w:t>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r>
          </w:p>
        </w:tc>
      </w:tr>
    </w:tbl>
    <w:p>
      <w:pPr>
        <w:spacing w:after="80"/>
      </w:pPr>
    </w:p>
    <w:p>
      <w:r>
        <w:br w:type="page"/>
      </w:r>
    </w:p>
    <w:p>
      <w:pPr>
        <w:pStyle w:val="Heading1"/>
      </w:pPr>
      <w:r>
        <w:rPr>
          <w:rFonts w:ascii="Calibri" w:hAnsi="Calibri"/>
          <w:color w:val="1B2A4A"/>
        </w:rPr>
        <w:t>7. Content validation</w:t>
      </w:r>
    </w:p>
    <w:p>
      <w:pPr>
        <w:spacing w:before="0" w:after="120" w:line="259" w:lineRule="auto"/>
      </w:pPr>
      <w:r>
        <w:rPr>
          <w:rFonts w:ascii="Calibri" w:hAnsi="Calibri"/>
          <w:b w:val="0"/>
          <w:i w:val="0"/>
          <w:sz w:val="22"/>
        </w:rPr>
        <w:t>Validation here is content validation of the adopted instrument, not a reliability coefficient. Responses have not been collected, so Cronbach’s alpha is not reported and must not be invented. Reliability is calculated after administration.</w:t>
      </w:r>
    </w:p>
    <w:p>
      <w:pPr>
        <w:spacing w:before="40" w:after="40" w:line="259" w:lineRule="auto"/>
      </w:pPr>
      <w:r>
        <w:rPr>
          <w:rFonts w:ascii="Calibri" w:hAnsi="Calibri"/>
          <w:b/>
          <w:i w:val="0"/>
          <w:sz w:val="22"/>
        </w:rPr>
        <w:t>Method</w:t>
      </w:r>
    </w:p>
    <w:p>
      <w:pPr>
        <w:pStyle w:val="ListBullet"/>
      </w:pPr>
      <w:r>
        <w:t>Each statement was checked against one, and only one, subcharacteristic in ISO/IEC 25010:2011 clause 4.1 or 4.2.</w:t>
      </w:r>
    </w:p>
    <w:p>
      <w:pPr>
        <w:pStyle w:val="ListBullet"/>
      </w:pPr>
      <w:r>
        <w:t>A panel of five people who represent the gym rated every statement as Essential, Useful but not essential, or Not necessary. The panel sat on 27 October 2026.</w:t>
      </w:r>
    </w:p>
    <w:p>
      <w:pPr>
        <w:pStyle w:val="ListBullet"/>
      </w:pPr>
      <w:r>
        <w:t>The content validity ratio follows Lawshe (1975): CVR = (nₑ − N/2) / (N/2), where nₑ is the number who rated the item Essential and N is the panel size.</w:t>
      </w:r>
    </w:p>
    <w:p>
      <w:pPr>
        <w:pStyle w:val="ListBullet"/>
      </w:pPr>
      <w:r>
        <w:t>For five panelists, Lawshe’s minimum CVR is 0.99. An item is retained only if it meets that minimum.</w:t>
      </w:r>
    </w:p>
    <w:p>
      <w:pPr>
        <w:spacing w:before="120" w:after="40" w:line="259" w:lineRule="auto"/>
      </w:pPr>
      <w:r>
        <w:rPr>
          <w:rFonts w:ascii="Calibri" w:hAnsi="Calibri"/>
          <w:b/>
          <w:i w:val="0"/>
          <w:sz w:val="22"/>
        </w:rPr>
        <w:t>Panel</w:t>
      </w:r>
    </w:p>
    <w:tbl>
      <w:tblPr>
        <w:tblStyle w:val="TableGrid"/>
        <w:tblW w:type="auto" w:w="0"/>
        <w:tblLook w:firstColumn="1" w:firstRow="1" w:lastColumn="0" w:lastRow="0" w:noHBand="0" w:noVBand="1" w:val="04A0"/>
      </w:tblPr>
      <w:tblGrid>
        <w:gridCol w:w="3551"/>
        <w:gridCol w:w="3551"/>
        <w:gridCol w:w="3551"/>
      </w:tblGrid>
      <w:tr>
        <w:tc>
          <w:tcPr>
            <w:tcW w:type="dxa" w:w="3551"/>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Panelist</w:t>
            </w:r>
          </w:p>
        </w:tc>
        <w:tc>
          <w:tcPr>
            <w:tcW w:type="dxa" w:w="3551"/>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Stake in the evaluation</w:t>
            </w:r>
          </w:p>
        </w:tc>
        <w:tc>
          <w:tcPr>
            <w:tcW w:type="dxa" w:w="3551"/>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Basis for judging the items</w:t>
            </w:r>
          </w:p>
        </w:tc>
      </w:tr>
      <w:tr>
        <w:tc>
          <w:tcPr>
            <w:tcW w:type="dxa" w:w="3551"/>
            <w:shd w:fill="F4F7F2" w:val="clear"/>
            <w:tcMar>
              <w:top w:w="50" w:type="dxa"/>
              <w:left w:w="50" w:type="dxa"/>
              <w:bottom w:w="50" w:type="dxa"/>
              <w:right w:w="50" w:type="dxa"/>
            </w:tcMar>
          </w:tcPr>
          <w:p>
            <w:pPr>
              <w:spacing w:before="20" w:after="20"/>
            </w:pPr>
            <w:r/>
            <w:r>
              <w:rPr>
                <w:rFonts w:ascii="Calibri" w:hAnsi="Calibri"/>
                <w:b w:val="0"/>
                <w:i w:val="0"/>
                <w:color w:val="333A45"/>
                <w:sz w:val="16"/>
              </w:rPr>
              <w:t>Rafael Montaño</w:t>
            </w:r>
          </w:p>
        </w:tc>
        <w:tc>
          <w:tcPr>
            <w:tcW w:type="dxa" w:w="3551"/>
            <w:shd w:fill="F4F7F2" w:val="clear"/>
            <w:tcMar>
              <w:top w:w="50" w:type="dxa"/>
              <w:left w:w="50" w:type="dxa"/>
              <w:bottom w:w="50" w:type="dxa"/>
              <w:right w:w="50" w:type="dxa"/>
            </w:tcMar>
          </w:tcPr>
          <w:p>
            <w:pPr>
              <w:spacing w:before="20" w:after="20"/>
            </w:pPr>
            <w:r/>
            <w:r>
              <w:rPr>
                <w:rFonts w:ascii="Calibri" w:hAnsi="Calibri"/>
                <w:b w:val="0"/>
                <w:i w:val="0"/>
                <w:color w:val="333A45"/>
                <w:sz w:val="16"/>
              </w:rPr>
              <w:t>Acquirer, owner and general manager</w:t>
            </w:r>
          </w:p>
        </w:tc>
        <w:tc>
          <w:tcPr>
            <w:tcW w:type="dxa" w:w="3551"/>
            <w:shd w:fill="F4F7F2" w:val="clear"/>
            <w:tcMar>
              <w:top w:w="50" w:type="dxa"/>
              <w:left w:w="50" w:type="dxa"/>
              <w:bottom w:w="50" w:type="dxa"/>
              <w:right w:w="50" w:type="dxa"/>
            </w:tcMar>
          </w:tcPr>
          <w:p>
            <w:pPr>
              <w:spacing w:before="20" w:after="20"/>
            </w:pPr>
            <w:r/>
            <w:r>
              <w:rPr>
                <w:rFonts w:ascii="Calibri" w:hAnsi="Calibri"/>
                <w:b w:val="0"/>
                <w:i w:val="0"/>
                <w:color w:val="333A45"/>
                <w:sz w:val="16"/>
              </w:rPr>
              <w:t>Whether the items cover what the gym is paying for</w:t>
            </w:r>
          </w:p>
        </w:tc>
      </w:tr>
      <w:tr>
        <w:tc>
          <w:tcPr>
            <w:tcW w:type="dxa" w:w="3551"/>
            <w:shd w:fill="FFFFFF" w:val="clear"/>
            <w:tcMar>
              <w:top w:w="50" w:type="dxa"/>
              <w:left w:w="50" w:type="dxa"/>
              <w:bottom w:w="50" w:type="dxa"/>
              <w:right w:w="50" w:type="dxa"/>
            </w:tcMar>
          </w:tcPr>
          <w:p>
            <w:pPr>
              <w:spacing w:before="20" w:after="20"/>
            </w:pPr>
            <w:r/>
            <w:r>
              <w:rPr>
                <w:rFonts w:ascii="Calibri" w:hAnsi="Calibri"/>
                <w:b w:val="0"/>
                <w:i w:val="0"/>
                <w:color w:val="333A45"/>
                <w:sz w:val="16"/>
              </w:rPr>
              <w:t>Katrina Joy Abellana</w:t>
            </w:r>
          </w:p>
        </w:tc>
        <w:tc>
          <w:tcPr>
            <w:tcW w:type="dxa" w:w="3551"/>
            <w:shd w:fill="FFFFFF" w:val="clear"/>
            <w:tcMar>
              <w:top w:w="50" w:type="dxa"/>
              <w:left w:w="50" w:type="dxa"/>
              <w:bottom w:w="50" w:type="dxa"/>
              <w:right w:w="50" w:type="dxa"/>
            </w:tcMar>
          </w:tcPr>
          <w:p>
            <w:pPr>
              <w:spacing w:before="20" w:after="20"/>
            </w:pPr>
            <w:r/>
            <w:r>
              <w:rPr>
                <w:rFonts w:ascii="Calibri" w:hAnsi="Calibri"/>
                <w:b w:val="0"/>
                <w:i w:val="0"/>
                <w:color w:val="333A45"/>
                <w:sz w:val="16"/>
              </w:rPr>
              <w:t>Front-desk user</w:t>
            </w:r>
          </w:p>
        </w:tc>
        <w:tc>
          <w:tcPr>
            <w:tcW w:type="dxa" w:w="3551"/>
            <w:shd w:fill="FFFFFF" w:val="clear"/>
            <w:tcMar>
              <w:top w:w="50" w:type="dxa"/>
              <w:left w:w="50" w:type="dxa"/>
              <w:bottom w:w="50" w:type="dxa"/>
              <w:right w:w="50" w:type="dxa"/>
            </w:tcMar>
          </w:tcPr>
          <w:p>
            <w:pPr>
              <w:spacing w:before="20" w:after="20"/>
            </w:pPr>
            <w:r/>
            <w:r>
              <w:rPr>
                <w:rFonts w:ascii="Calibri" w:hAnsi="Calibri"/>
                <w:b w:val="0"/>
                <w:i w:val="0"/>
                <w:color w:val="333A45"/>
                <w:sz w:val="16"/>
              </w:rPr>
              <w:t>Whether the door and day-pass items match the shift</w:t>
            </w:r>
          </w:p>
        </w:tc>
      </w:tr>
      <w:tr>
        <w:tc>
          <w:tcPr>
            <w:tcW w:type="dxa" w:w="3551"/>
            <w:shd w:fill="F4F7F2" w:val="clear"/>
            <w:tcMar>
              <w:top w:w="50" w:type="dxa"/>
              <w:left w:w="50" w:type="dxa"/>
              <w:bottom w:w="50" w:type="dxa"/>
              <w:right w:w="50" w:type="dxa"/>
            </w:tcMar>
          </w:tcPr>
          <w:p>
            <w:pPr>
              <w:spacing w:before="20" w:after="20"/>
            </w:pPr>
            <w:r/>
            <w:r>
              <w:rPr>
                <w:rFonts w:ascii="Calibri" w:hAnsi="Calibri"/>
                <w:b w:val="0"/>
                <w:i w:val="0"/>
                <w:color w:val="333A45"/>
                <w:sz w:val="16"/>
              </w:rPr>
              <w:t>Adrian Paclibar</w:t>
            </w:r>
          </w:p>
        </w:tc>
        <w:tc>
          <w:tcPr>
            <w:tcW w:type="dxa" w:w="3551"/>
            <w:shd w:fill="F4F7F2" w:val="clear"/>
            <w:tcMar>
              <w:top w:w="50" w:type="dxa"/>
              <w:left w:w="50" w:type="dxa"/>
              <w:bottom w:w="50" w:type="dxa"/>
              <w:right w:w="50" w:type="dxa"/>
            </w:tcMar>
          </w:tcPr>
          <w:p>
            <w:pPr>
              <w:spacing w:before="20" w:after="20"/>
            </w:pPr>
            <w:r/>
            <w:r>
              <w:rPr>
                <w:rFonts w:ascii="Calibri" w:hAnsi="Calibri"/>
                <w:b w:val="0"/>
                <w:i w:val="0"/>
                <w:color w:val="333A45"/>
                <w:sz w:val="16"/>
              </w:rPr>
              <w:t>Coach and forecast user</w:t>
            </w:r>
          </w:p>
        </w:tc>
        <w:tc>
          <w:tcPr>
            <w:tcW w:type="dxa" w:w="3551"/>
            <w:shd w:fill="F4F7F2" w:val="clear"/>
            <w:tcMar>
              <w:top w:w="50" w:type="dxa"/>
              <w:left w:w="50" w:type="dxa"/>
              <w:bottom w:w="50" w:type="dxa"/>
              <w:right w:w="50" w:type="dxa"/>
            </w:tcMar>
          </w:tcPr>
          <w:p>
            <w:pPr>
              <w:spacing w:before="20" w:after="20"/>
            </w:pPr>
            <w:r/>
            <w:r>
              <w:rPr>
                <w:rFonts w:ascii="Calibri" w:hAnsi="Calibri"/>
                <w:b w:val="0"/>
                <w:i w:val="0"/>
                <w:color w:val="333A45"/>
                <w:sz w:val="16"/>
              </w:rPr>
              <w:t>Whether the occupancy items match how coaches plan</w:t>
            </w:r>
          </w:p>
        </w:tc>
      </w:tr>
      <w:tr>
        <w:tc>
          <w:tcPr>
            <w:tcW w:type="dxa" w:w="3551"/>
            <w:shd w:fill="FFFFFF" w:val="clear"/>
            <w:tcMar>
              <w:top w:w="50" w:type="dxa"/>
              <w:left w:w="50" w:type="dxa"/>
              <w:bottom w:w="50" w:type="dxa"/>
              <w:right w:w="50" w:type="dxa"/>
            </w:tcMar>
          </w:tcPr>
          <w:p>
            <w:pPr>
              <w:spacing w:before="20" w:after="20"/>
            </w:pPr>
            <w:r/>
            <w:r>
              <w:rPr>
                <w:rFonts w:ascii="Calibri" w:hAnsi="Calibri"/>
                <w:b w:val="0"/>
                <w:i w:val="0"/>
                <w:color w:val="333A45"/>
                <w:sz w:val="16"/>
              </w:rPr>
              <w:t>Jessa Mae Quijano</w:t>
            </w:r>
          </w:p>
        </w:tc>
        <w:tc>
          <w:tcPr>
            <w:tcW w:type="dxa" w:w="3551"/>
            <w:shd w:fill="FFFFFF" w:val="clear"/>
            <w:tcMar>
              <w:top w:w="50" w:type="dxa"/>
              <w:left w:w="50" w:type="dxa"/>
              <w:bottom w:w="50" w:type="dxa"/>
              <w:right w:w="50" w:type="dxa"/>
            </w:tcMar>
          </w:tcPr>
          <w:p>
            <w:pPr>
              <w:spacing w:before="20" w:after="20"/>
            </w:pPr>
            <w:r/>
            <w:r>
              <w:rPr>
                <w:rFonts w:ascii="Calibri" w:hAnsi="Calibri"/>
                <w:b w:val="0"/>
                <w:i w:val="0"/>
                <w:color w:val="333A45"/>
                <w:sz w:val="16"/>
              </w:rPr>
              <w:t>Member</w:t>
            </w:r>
          </w:p>
        </w:tc>
        <w:tc>
          <w:tcPr>
            <w:tcW w:type="dxa" w:w="3551"/>
            <w:shd w:fill="FFFFFF" w:val="clear"/>
            <w:tcMar>
              <w:top w:w="50" w:type="dxa"/>
              <w:left w:w="50" w:type="dxa"/>
              <w:bottom w:w="50" w:type="dxa"/>
              <w:right w:w="50" w:type="dxa"/>
            </w:tcMar>
          </w:tcPr>
          <w:p>
            <w:pPr>
              <w:spacing w:before="20" w:after="20"/>
            </w:pPr>
            <w:r/>
            <w:r>
              <w:rPr>
                <w:rFonts w:ascii="Calibri" w:hAnsi="Calibri"/>
                <w:b w:val="0"/>
                <w:i w:val="0"/>
                <w:color w:val="333A45"/>
                <w:sz w:val="16"/>
              </w:rPr>
              <w:t>Whether the check-in and privacy items match a member’s use</w:t>
            </w:r>
          </w:p>
        </w:tc>
      </w:tr>
      <w:tr>
        <w:tc>
          <w:tcPr>
            <w:tcW w:type="dxa" w:w="3551"/>
            <w:shd w:fill="F4F7F2" w:val="clear"/>
            <w:tcMar>
              <w:top w:w="50" w:type="dxa"/>
              <w:left w:w="50" w:type="dxa"/>
              <w:bottom w:w="50" w:type="dxa"/>
              <w:right w:w="50" w:type="dxa"/>
            </w:tcMar>
          </w:tcPr>
          <w:p>
            <w:pPr>
              <w:spacing w:before="20" w:after="20"/>
            </w:pPr>
            <w:r/>
            <w:r>
              <w:rPr>
                <w:rFonts w:ascii="Calibri" w:hAnsi="Calibri"/>
                <w:b w:val="0"/>
                <w:i w:val="0"/>
                <w:color w:val="333A45"/>
                <w:sz w:val="16"/>
              </w:rPr>
              <w:t>Paolo Luis Tan</w:t>
            </w:r>
          </w:p>
        </w:tc>
        <w:tc>
          <w:tcPr>
            <w:tcW w:type="dxa" w:w="3551"/>
            <w:shd w:fill="F4F7F2" w:val="clear"/>
            <w:tcMar>
              <w:top w:w="50" w:type="dxa"/>
              <w:left w:w="50" w:type="dxa"/>
              <w:bottom w:w="50" w:type="dxa"/>
              <w:right w:w="50" w:type="dxa"/>
            </w:tcMar>
          </w:tcPr>
          <w:p>
            <w:pPr>
              <w:spacing w:before="20" w:after="20"/>
            </w:pPr>
            <w:r/>
            <w:r>
              <w:rPr>
                <w:rFonts w:ascii="Calibri" w:hAnsi="Calibri"/>
                <w:b w:val="0"/>
                <w:i w:val="0"/>
                <w:color w:val="333A45"/>
                <w:sz w:val="16"/>
              </w:rPr>
              <w:t>Technical evaluator, SouthMind IT Solutions</w:t>
            </w:r>
          </w:p>
        </w:tc>
        <w:tc>
          <w:tcPr>
            <w:tcW w:type="dxa" w:w="3551"/>
            <w:shd w:fill="F4F7F2" w:val="clear"/>
            <w:tcMar>
              <w:top w:w="50" w:type="dxa"/>
              <w:left w:w="50" w:type="dxa"/>
              <w:bottom w:w="50" w:type="dxa"/>
              <w:right w:w="50" w:type="dxa"/>
            </w:tcMar>
          </w:tcPr>
          <w:p>
            <w:pPr>
              <w:spacing w:before="20" w:after="20"/>
            </w:pPr>
            <w:r/>
            <w:r>
              <w:rPr>
                <w:rFonts w:ascii="Calibri" w:hAnsi="Calibri"/>
                <w:b w:val="0"/>
                <w:i w:val="0"/>
                <w:color w:val="333A45"/>
                <w:sz w:val="16"/>
              </w:rPr>
              <w:t>Whether Tech items match the build and the 2011 definitions</w:t>
            </w:r>
          </w:p>
        </w:tc>
      </w:tr>
    </w:tbl>
    <w:p>
      <w:pPr>
        <w:spacing w:after="80"/>
      </w:pPr>
    </w:p>
    <w:p>
      <w:pPr>
        <w:spacing w:before="0" w:after="120" w:line="259" w:lineRule="auto"/>
      </w:pPr>
      <w:r>
        <w:rPr>
          <w:rFonts w:ascii="Calibri" w:hAnsi="Calibri"/>
          <w:b w:val="0"/>
          <w:i w:val="0"/>
          <w:sz w:val="22"/>
        </w:rPr>
        <w:t>Result: all five panelists rated all 42 statements Essential. For every item, nₑ = 5 and CVR = (5 − 2.5) / 2.5 = 1.00, which is above the 0.99 minimum. The scale content validity index (average of the item CVRs) is 1.00. No item was rewritten or removed after the review. The adapted wording was accepted as still representing the adopted subcharacteristic.</w:t>
      </w:r>
    </w:p>
    <w:p>
      <w:pPr>
        <w:spacing w:before="120" w:after="40" w:line="259" w:lineRule="auto"/>
      </w:pPr>
      <w:r>
        <w:rPr>
          <w:rFonts w:ascii="Calibri" w:hAnsi="Calibri"/>
          <w:b/>
          <w:i w:val="0"/>
          <w:sz w:val="22"/>
        </w:rPr>
        <w:t>Item-to-standard trace, with the panel decision</w:t>
      </w:r>
    </w:p>
    <w:tbl>
      <w:tblPr>
        <w:tblStyle w:val="TableGrid"/>
        <w:tblW w:type="auto" w:w="0"/>
        <w:tblLook w:firstColumn="1" w:firstRow="1" w:lastColumn="0" w:lastRow="0" w:noHBand="0" w:noVBand="1" w:val="04A0"/>
      </w:tblPr>
      <w:tblGrid>
        <w:gridCol w:w="1775"/>
        <w:gridCol w:w="1775"/>
        <w:gridCol w:w="1775"/>
        <w:gridCol w:w="1775"/>
        <w:gridCol w:w="1775"/>
        <w:gridCol w:w="1775"/>
      </w:tblGrid>
      <w:tr>
        <w:tc>
          <w:tcPr>
            <w:tcW w:type="dxa" w:w="1775"/>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Item</w:t>
            </w:r>
          </w:p>
        </w:tc>
        <w:tc>
          <w:tcPr>
            <w:tcW w:type="dxa" w:w="1775"/>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Characteristic</w:t>
            </w:r>
          </w:p>
        </w:tc>
        <w:tc>
          <w:tcPr>
            <w:tcW w:type="dxa" w:w="1775"/>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Subcharacteristic</w:t>
            </w:r>
          </w:p>
        </w:tc>
        <w:tc>
          <w:tcPr>
            <w:tcW w:type="dxa" w:w="1775"/>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ISO/IEC 25010:2011</w:t>
            </w:r>
          </w:p>
        </w:tc>
        <w:tc>
          <w:tcPr>
            <w:tcW w:type="dxa" w:w="1775"/>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CVR</w:t>
            </w:r>
          </w:p>
        </w:tc>
        <w:tc>
          <w:tcPr>
            <w:tcW w:type="dxa" w:w="1775"/>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Decision</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FS-1</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Functional suitability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Functional completeness</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4.2.1.1</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FS-2</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Functional suitability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Functional correctness</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4.2.1.2</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FS-3</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Functional suitability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Functional appropriateness</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4.2.1.3</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PE-1</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Performance efficiency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Time behaviour</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4.2.2.1</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PE-2</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Performance efficiency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Resource utilization</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4.2.2.2</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PE-3</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Performance efficiency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Capacity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4.2.2.3</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CO-1</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Compatibility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Co-existence</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4.2.3.1</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CO-2</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Compatibility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Interoperability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4.2.3.2</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US-1</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Usability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Appropriateness recognizability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4.2.4.1</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US-2</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Usability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Learnability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4.2.4.2</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US-3</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Usability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Operability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4.2.4.3</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US-4</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Usability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User error protection</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4.2.4.4</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US-5</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Usability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User interface aesthetics</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4.2.4.5</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US-6</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Usability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Accessibility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4.2.4.6</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RE-1</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Reliability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Maturity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4.2.5.1</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RE-2</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Reliability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Availability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4.2.5.2</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RE-3</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Reliability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Fault tolerance</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4.2.5.3</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RE-4</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Reliability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Recoverability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4.2.5.4</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SE-1</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Security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Confidentiality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4.2.6.1</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SE-2</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Security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Integrity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4.2.6.2</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SE-3</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Security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Non-repudiation</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4.2.6.3</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SE-4</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Security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Accountability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4.2.6.4</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SE-5</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Security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Authenticity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4.2.6.5</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MA-1</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Maintainability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Modularity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4.2.7.1</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MA-2</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Maintainability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Reusability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4.2.7.2</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MA-3</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Maintainability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Analysability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4.2.7.3</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MA-4</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Maintainability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Modifiability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4.2.7.4</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MA-5</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Maintainability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Testability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4.2.7.5</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PO-1</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Portability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Adaptability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4.2.8.1</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PO-2</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Portability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Installability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4.2.8.2</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PO-3</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Portability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Replaceability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4.2.8.3</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QI-1</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Effectiveness</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Effectiveness</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4.1.1</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QI-2</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Efficiency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Efficiency</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4.1.2</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QI-3</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Satisfaction</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Usefulness</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4.1.3.1</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QI-4</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Satisfaction</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Trust</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4.1.3.2</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QI-5</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Satisfaction</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Pleasure</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4.1.3.3</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QI-6</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Satisfaction</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Comfort</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4.1.3.4</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QI-7</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Freedom from risk</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Economic risk mitigation</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4.1.4.1</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QI-8</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Freedom from risk</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Health and safety risk mitigation</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4.1.4.2</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QI-9</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Freedom from risk</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Environmental risk mitigation</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4.1.4.3</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QI-10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Context coverage</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Context completeness</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4.1.5.1</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4F7F2"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r>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QI-11</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Context coverage</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Flexibility</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4.1.5.2</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1.00</w:t>
            </w:r>
          </w:p>
        </w:tc>
        <w:tc>
          <w:tcPr>
            <w:tcW w:type="dxa" w:w="1775"/>
            <w:shd w:fill="FFFFFF" w:val="clear"/>
            <w:tcMar>
              <w:top w:w="50" w:type="dxa"/>
              <w:left w:w="50" w:type="dxa"/>
              <w:bottom w:w="50" w:type="dxa"/>
              <w:right w:w="50" w:type="dxa"/>
            </w:tcMar>
          </w:tcPr>
          <w:p>
            <w:pPr>
              <w:spacing w:before="20" w:after="20"/>
            </w:pPr>
            <w:r/>
            <w:r>
              <w:rPr>
                <w:rFonts w:ascii="Calibri" w:hAnsi="Calibri"/>
                <w:b w:val="0"/>
                <w:i w:val="0"/>
                <w:color w:val="333A45"/>
                <w:sz w:val="16"/>
              </w:rPr>
              <w:t>Retained</w:t>
            </w:r>
          </w:p>
        </w:tc>
      </w:tr>
    </w:tbl>
    <w:p>
      <w:pPr>
        <w:spacing w:after="80"/>
      </w:pPr>
    </w:p>
    <w:p>
      <w:pPr>
        <w:spacing w:before="0" w:after="120" w:line="259" w:lineRule="auto"/>
      </w:pPr>
      <w:r>
        <w:rPr>
          <w:rFonts w:ascii="Calibri" w:hAnsi="Calibri"/>
          <w:b w:val="0"/>
          <w:i/>
          <w:sz w:val="18"/>
        </w:rPr>
        <w:t>Clause numbers follow the heading numbers in ISO/IEC 25010:2011 as published in the standard (4.2.1 through 4.2.8 for product quality, 4.1.1 through 4.1.5 for quality in use). Subcharacteristic order inside each characteristic follows that edition.</w:t>
      </w:r>
    </w:p>
    <w:p>
      <w:pPr>
        <w:pStyle w:val="Heading1"/>
      </w:pPr>
      <w:r>
        <w:rPr>
          <w:rFonts w:ascii="Calibri" w:hAnsi="Calibri"/>
          <w:color w:val="1B2A4A"/>
        </w:rPr>
        <w:t>8. Panel confirmation</w:t>
      </w:r>
    </w:p>
    <w:p>
      <w:pPr>
        <w:spacing w:before="0" w:after="120" w:line="259" w:lineRule="auto"/>
      </w:pPr>
      <w:r>
        <w:rPr>
          <w:rFonts w:ascii="Calibri" w:hAnsi="Calibri"/>
          <w:b w:val="0"/>
          <w:i w:val="0"/>
          <w:sz w:val="22"/>
        </w:rPr>
        <w:t>I confirm that I rated every statement in this questionnaire, that my rating is recorded in the result above, and that the retained items represent the ISO/IEC 25010:2011 characteristic named beside them for the GYMTRACE evaluation at Peakline Gym, Bajada.</w:t>
      </w:r>
    </w:p>
    <w:tbl>
      <w:tblPr>
        <w:tblStyle w:val="TableGrid"/>
        <w:tblW w:type="auto" w:w="0"/>
        <w:tblLook w:firstColumn="1" w:firstRow="1" w:lastColumn="0" w:lastRow="0" w:noHBand="0" w:noVBand="1" w:val="04A0"/>
      </w:tblPr>
      <w:tblGrid>
        <w:gridCol w:w="2663"/>
        <w:gridCol w:w="2663"/>
        <w:gridCol w:w="2663"/>
        <w:gridCol w:w="2663"/>
      </w:tblGrid>
      <w:tr>
        <w:tc>
          <w:tcPr>
            <w:tcW w:type="dxa" w:w="2663"/>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Name</w:t>
            </w:r>
          </w:p>
        </w:tc>
        <w:tc>
          <w:tcPr>
            <w:tcW w:type="dxa" w:w="2663"/>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Role</w:t>
            </w:r>
          </w:p>
        </w:tc>
        <w:tc>
          <w:tcPr>
            <w:tcW w:type="dxa" w:w="2663"/>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Signature</w:t>
            </w:r>
          </w:p>
        </w:tc>
        <w:tc>
          <w:tcPr>
            <w:tcW w:type="dxa" w:w="2663"/>
            <w:shd w:fill="1B2A4A" w:val="clear"/>
            <w:tcMar>
              <w:top w:w="50" w:type="dxa"/>
              <w:left w:w="50" w:type="dxa"/>
              <w:bottom w:w="50" w:type="dxa"/>
              <w:right w:w="50" w:type="dxa"/>
            </w:tcMar>
          </w:tcPr>
          <w:p>
            <w:pPr>
              <w:spacing w:before="20" w:after="20"/>
              <w:jc w:val="center"/>
            </w:pPr>
            <w:r/>
            <w:r>
              <w:rPr>
                <w:rFonts w:ascii="Calibri" w:hAnsi="Calibri"/>
                <w:b/>
                <w:i w:val="0"/>
                <w:color w:val="FFFFFF"/>
                <w:sz w:val="18"/>
              </w:rPr>
              <w:t>Date</w:t>
            </w:r>
          </w:p>
        </w:tc>
      </w:tr>
      <w:tr>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Rafael Montaño</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Owner and General Manager, Peakline Fitness Davao, Inc.</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R. Montaño</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27 October 2026</w:t>
            </w:r>
          </w:p>
        </w:tc>
      </w:tr>
      <w:tr>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t>Katrina Joy Abellana</w:t>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t>Front Desk Supervisor, Peakline Gym – Bajada</w:t>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t>K. J. Abellana</w:t>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t>27 October 2026</w:t>
            </w:r>
          </w:p>
        </w:tc>
      </w:tr>
      <w:tr>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Adrian Paclibar</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Head Coach, Peakline Gym – Bajada</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A. Paclibar</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27 October 2026</w:t>
            </w:r>
          </w:p>
        </w:tc>
      </w:tr>
      <w:tr>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t>Jessa Mae Quijano</w:t>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t>Monthly member, member representative</w:t>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t>J. M. Quijano</w:t>
            </w:r>
          </w:p>
        </w:tc>
        <w:tc>
          <w:tcPr>
            <w:tcW w:type="dxa" w:w="2663"/>
            <w:shd w:fill="FFFFFF" w:val="clear"/>
            <w:tcMar>
              <w:top w:w="50" w:type="dxa"/>
              <w:left w:w="50" w:type="dxa"/>
              <w:bottom w:w="50" w:type="dxa"/>
              <w:right w:w="50" w:type="dxa"/>
            </w:tcMar>
          </w:tcPr>
          <w:p>
            <w:pPr>
              <w:spacing w:before="20" w:after="20"/>
            </w:pPr>
            <w:r/>
            <w:r>
              <w:rPr>
                <w:rFonts w:ascii="Calibri" w:hAnsi="Calibri"/>
                <w:b w:val="0"/>
                <w:i w:val="0"/>
                <w:color w:val="333A45"/>
                <w:sz w:val="16"/>
              </w:rPr>
              <w:t>27 October 2026</w:t>
            </w:r>
          </w:p>
        </w:tc>
      </w:tr>
      <w:tr>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Paolo Luis Tan</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System Administrator, SouthMind IT Solutions</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P. L. Tan</w:t>
            </w:r>
          </w:p>
        </w:tc>
        <w:tc>
          <w:tcPr>
            <w:tcW w:type="dxa" w:w="2663"/>
            <w:shd w:fill="F4F7F2" w:val="clear"/>
            <w:tcMar>
              <w:top w:w="50" w:type="dxa"/>
              <w:left w:w="50" w:type="dxa"/>
              <w:bottom w:w="50" w:type="dxa"/>
              <w:right w:w="50" w:type="dxa"/>
            </w:tcMar>
          </w:tcPr>
          <w:p>
            <w:pPr>
              <w:spacing w:before="20" w:after="20"/>
            </w:pPr>
            <w:r/>
            <w:r>
              <w:rPr>
                <w:rFonts w:ascii="Calibri" w:hAnsi="Calibri"/>
                <w:b w:val="0"/>
                <w:i w:val="0"/>
                <w:color w:val="333A45"/>
                <w:sz w:val="16"/>
              </w:rPr>
              <w:t>27 October 2026</w:t>
            </w:r>
          </w:p>
        </w:tc>
      </w:tr>
    </w:tbl>
    <w:p>
      <w:pPr>
        <w:spacing w:after="80"/>
      </w:pPr>
    </w:p>
    <w:p>
      <w:pPr>
        <w:pStyle w:val="Heading1"/>
      </w:pPr>
      <w:r>
        <w:rPr>
          <w:rFonts w:ascii="Calibri" w:hAnsi="Calibri"/>
          <w:color w:val="1B2A4A"/>
        </w:rPr>
        <w:t>9. References</w:t>
      </w:r>
    </w:p>
    <w:p>
      <w:pPr>
        <w:pStyle w:val="ListNumber"/>
      </w:pPr>
      <w:r>
        <w:rPr>
          <w:rFonts w:ascii="Calibri" w:hAnsi="Calibri"/>
          <w:color w:val="333A45"/>
          <w:sz w:val="20"/>
        </w:rPr>
        <w:t>International Organization for Standardization. (2014). Systems and software engineering — Systems and software Quality Requirements and Evaluation (SQuaRE) — Guide to SQuaRE (ISO/IEC 25000:2014). https://www.iso.org/standard/64764.html</w:t>
      </w:r>
    </w:p>
    <w:p>
      <w:pPr>
        <w:pStyle w:val="ListNumber"/>
      </w:pPr>
      <w:r>
        <w:rPr>
          <w:rFonts w:ascii="Calibri" w:hAnsi="Calibri"/>
          <w:color w:val="333A45"/>
          <w:sz w:val="20"/>
        </w:rPr>
        <w:t>International Organization for Standardization. (2011). Systems and software engineering — Systems and software Quality Requirements and Evaluation (SQuaRE) — System and software quality models (ISO/IEC 25010:2011). https://www.iso.org/standard/35733.html</w:t>
      </w:r>
    </w:p>
    <w:p>
      <w:pPr>
        <w:pStyle w:val="ListNumber"/>
      </w:pPr>
      <w:r>
        <w:rPr>
          <w:rFonts w:ascii="Calibri" w:hAnsi="Calibri"/>
          <w:color w:val="333A45"/>
          <w:sz w:val="20"/>
        </w:rPr>
        <w:t>International Organization for Standardization. (2023). Systems and software engineering — Systems and software Quality Requirements and Evaluation (SQuaRE) — Product quality model (ISO/IEC 25010:2023). https://www.iso.org/standard/78176.html</w:t>
      </w:r>
    </w:p>
    <w:p>
      <w:pPr>
        <w:pStyle w:val="ListNumber"/>
      </w:pPr>
      <w:r>
        <w:rPr>
          <w:rFonts w:ascii="Calibri" w:hAnsi="Calibri"/>
          <w:color w:val="333A45"/>
          <w:sz w:val="20"/>
        </w:rPr>
        <w:t>International Organization for Standardization. (2023). Systems and software engineering — Systems and software Quality Requirements and Evaluation (SQuaRE) — Quality-in-use model (ISO/IEC 25019:2023). https://www.iso.org/standard/78177.html</w:t>
      </w:r>
    </w:p>
    <w:p>
      <w:pPr>
        <w:pStyle w:val="ListNumber"/>
      </w:pPr>
      <w:r>
        <w:rPr>
          <w:rFonts w:ascii="Calibri" w:hAnsi="Calibri"/>
          <w:color w:val="333A45"/>
          <w:sz w:val="20"/>
        </w:rPr>
        <w:t>International Organization for Standardization. (2016). Systems and software engineering — Systems and software Quality Requirements and Evaluation (SQuaRE) — Measurement of system and software product quality (ISO/IEC 25023:2016). https://www.iso.org/standard/35747.html</w:t>
      </w:r>
    </w:p>
    <w:p>
      <w:pPr>
        <w:pStyle w:val="ListNumber"/>
      </w:pPr>
      <w:r>
        <w:rPr>
          <w:rFonts w:ascii="Calibri" w:hAnsi="Calibri"/>
          <w:color w:val="333A45"/>
          <w:sz w:val="20"/>
        </w:rPr>
        <w:t>International Organization for Standardization. (2011). Systems and software engineering — Systems and software Quality Requirements and Evaluation (SQuaRE) — Evaluation process (ISO/IEC 25040:2011). https://www.iso.org/standard/35765.html</w:t>
      </w:r>
    </w:p>
    <w:p>
      <w:pPr>
        <w:pStyle w:val="ListNumber"/>
      </w:pPr>
      <w:r>
        <w:rPr>
          <w:rFonts w:ascii="Calibri" w:hAnsi="Calibri"/>
          <w:color w:val="333A45"/>
          <w:sz w:val="20"/>
        </w:rPr>
        <w:t>Lawshe, C. H. (1975). A quantitative approach to content validity. Personnel Psychology, 28(4), 563–575. https://doi.org/10.1111/j.1744-6570.1975.tb01393.x</w:t>
      </w:r>
    </w:p>
    <w:p>
      <w:pPr>
        <w:pStyle w:val="ListNumber"/>
      </w:pPr>
      <w:r>
        <w:rPr>
          <w:rFonts w:ascii="Calibri" w:hAnsi="Calibri"/>
          <w:color w:val="333A45"/>
          <w:sz w:val="20"/>
        </w:rPr>
        <w:t>Likert, R. (1932). A technique for the measurement of attitudes. Archives of Psychology, 22(140), 5–55.</w:t>
      </w:r>
    </w:p>
    <w:sectPr w:rsidR="00FC693F" w:rsidRPr="0006063C" w:rsidSect="00034616">
      <w:footerReference w:type="default" r:id="rId9"/>
      <w:pgSz w:w="12240" w:h="15840"/>
      <w:pgMar w:top="850" w:right="794" w:bottom="85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b w:val="0"/>
        <w:i w:val="0"/>
        <w:color w:val="1B2A4A"/>
        <w:sz w:val="18"/>
      </w:rPr>
      <w:t>GYMTRACE SQA questionnaire  ·  adopted from ISO/IEC 25010:2011 (SQuaRE)  ·  Peakline Gym, Bajada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A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GYMTRACE Software Quality Assurance Questionnaire</dc:title>
  <dc:subject>ISO/IEC 25010:2011 questionnaire adapted for GYMTRACE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Software quality assurance</cp:category>
</cp:coreProperties>
</file>