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Times New Roman" w:hAnsi="Times New Roman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  <w:t>Solicitar Tarea</w:t>
      </w:r>
    </w:p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tbl>
      <w:tblPr>
        <w:tblStyle w:val="TableNormal"/>
        <w:tblW w:w="9789" w:type="dxa"/>
        <w:jc w:val="left"/>
        <w:tblInd w:w="7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755"/>
        <w:gridCol w:w="2156"/>
        <w:gridCol w:w="90"/>
        <w:gridCol w:w="1365"/>
        <w:gridCol w:w="542"/>
        <w:gridCol w:w="645"/>
        <w:gridCol w:w="2235"/>
      </w:tblGrid>
      <w:tr>
        <w:trPr>
          <w:trHeight w:val="555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65" w:before="27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Nombre</w:t>
            </w:r>
            <w:r>
              <w:rPr>
                <w:b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</w:t>
            </w:r>
            <w:r>
              <w:rPr>
                <w:b/>
                <w:color w:val="FFFFFF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 xml:space="preserve">de 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>Uso:</w:t>
            </w:r>
          </w:p>
        </w:tc>
        <w:tc>
          <w:tcPr>
            <w:tcW w:w="22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0" w:before="0" w:after="0"/>
              <w:ind w:hanging="361" w:left="465" w:right="5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Solicitar Tarea</w:t>
            </w:r>
          </w:p>
        </w:tc>
        <w:tc>
          <w:tcPr>
            <w:tcW w:w="1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135" w:after="0"/>
              <w:ind w:left="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Id</w:t>
            </w:r>
            <w:r>
              <w:rPr>
                <w:b/>
                <w:color w:val="FFFFFF"/>
                <w:spacing w:val="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</w:t>
            </w:r>
            <w:r>
              <w:rPr>
                <w:b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 xml:space="preserve"> Uso: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50" w:after="0"/>
              <w:ind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Actores: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5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solicitante de servicio</w:t>
            </w:r>
          </w:p>
        </w:tc>
      </w:tr>
      <w:tr>
        <w:trPr>
          <w:trHeight w:val="1666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Descripción: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0" w:before="2" w:after="0"/>
              <w:ind w:left="15" w:right="-1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Se encarga de solicitar servicios al departamento de servicios generales para el mantenimiento y mejora del area</w:t>
            </w:r>
          </w:p>
        </w:tc>
      </w:tr>
      <w:tr>
        <w:trPr>
          <w:trHeight w:val="54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6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Casos</w:t>
            </w:r>
            <w:r>
              <w:rPr>
                <w:b/>
                <w:color w:val="FFFFFF"/>
                <w:spacing w:val="-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spacing w:val="-5"/>
                <w:kern w:val="0"/>
                <w:sz w:val="24"/>
                <w:szCs w:val="22"/>
                <w:lang w:eastAsia="en-US" w:bidi="ar-SA"/>
              </w:rPr>
              <w:t>Uso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5" w:before="9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Relacionados: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N/A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Entradas:</w:t>
            </w:r>
          </w:p>
        </w:tc>
        <w:tc>
          <w:tcPr>
            <w:tcW w:w="3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solicitud y zona</w:t>
            </w:r>
          </w:p>
        </w:tc>
        <w:tc>
          <w:tcPr>
            <w:tcW w:w="11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Salidas: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  <w:t>N/A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6" w:righ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</w:t>
            </w:r>
            <w:r>
              <w:rPr>
                <w:b/>
                <w:color w:val="FFFFFF"/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Típico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Solicitante de Servicios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jc w:val="center"/>
              <w:rPr>
                <w:color w:val="FFFFFF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Directorf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Observa una deficiencia en la infraestructura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informa al director de la deficiencia y la localización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3. El director recibe la información y verifica la veracidad de la información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4. crea la solicitud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5. asigna solicitud a división correspondiente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Curso Atípico #1: El director concluye que la información no es veraz o la solicitud es innecesaria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Solicitante de Servicios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  <w:u w:val="single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Directorf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desecha la solicitud de servicio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El proceso concluye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Curso Atípico #2: el solicitante informa al personal diferente del director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Solicitante de Servicios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Directorf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Informa al personal de la deficiencia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Recibe información por parte del personal informado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3. El flujo continua en el paso 3 del curso tipico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Curso Atípico #3: El director es quien detecta la deficiencia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Solicitante de Servicios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Directorf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El flujo inicia desde el paso 4 del curso tipico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 Atípico #4: no tiene los permisos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Solicitante de Servicios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Directorf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muestra mensaje de error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el proceso continua en le paso 3 del curso tipico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 Atípico #5: no tiene los permisos 2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Solicitante de Servicios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Directorf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muestra mensaje de error</w:t>
            </w:r>
          </w:p>
        </w:tc>
      </w:tr>
      <w:tr>
        <w:trPr>
          <w:trHeight w:val="825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255" w:after="0"/>
              <w:ind w:left="41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Pre-condiciones: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1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El solicitante de servicio encuentra una deficiencia en la infraestructura de la comunidad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Post-condiciones: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solicitud realizada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360" w:right="0" w:gutter="0" w:header="0" w:top="1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LibreOffice/25.2.4.3$Windows_X86_64 LibreOffice_project/33e196637044ead23f5c3226cde09b47731f7e27</Application>
  <AppVersion>15.0000</AppVersion>
  <Pages>1</Pages>
  <Words>74</Words>
  <Characters>805</Characters>
  <CharactersWithSpaces>829</CharactersWithSpaces>
  <Paragraphs>50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2025-06-28T02:35:00Z</dcterms:created>
  <dc:creator>Capa</dc:creator>
  <dc:description/>
  <dc:language>es-VE</dc:language>
  <cp:lastModifiedBy/>
  <dcterms:modified xsi:type="dcterms:W3CDTF">2025-06-28T01:38:04Z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