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A1262" w14:textId="7D625B2E" w:rsidR="001B5042" w:rsidRPr="004F0B70" w:rsidRDefault="004F0B70" w:rsidP="004F0B70">
      <w:pPr>
        <w:pStyle w:val="Heading1"/>
      </w:pPr>
      <w:r w:rsidRPr="004F0B70">
        <w:t>Methodology</w:t>
      </w:r>
    </w:p>
    <w:p w14:paraId="5AE65B87" w14:textId="1CBA5196" w:rsidR="004F0B70" w:rsidRDefault="004F0B70">
      <w:r>
        <w:t>[Justus, first you will need to explain from where you initially picked your cases, from there I carry on with the rest of the methodology]</w:t>
      </w:r>
    </w:p>
    <w:p w14:paraId="3A7EB09D" w14:textId="04BB62C7" w:rsidR="004F0B70" w:rsidRDefault="004F0B70">
      <w:r>
        <w:t>Apart from this initial case selection, we looked to increase the cases under study. In order to do so, we used the databank for German FRAND decisions from a German law firm on IP matters, called Kather Augenstein</w:t>
      </w:r>
      <w:r>
        <w:rPr>
          <w:rStyle w:val="FootnoteReference"/>
        </w:rPr>
        <w:footnoteReference w:id="1"/>
      </w:r>
      <w:r>
        <w:t>.</w:t>
      </w:r>
      <w:r w:rsidR="001033F5">
        <w:t xml:space="preserve"> Some of our initial </w:t>
      </w:r>
      <w:r w:rsidR="009C0CC0">
        <w:t>selections</w:t>
      </w:r>
      <w:r w:rsidR="001033F5">
        <w:t xml:space="preserve"> were already in this databank, but they also provided new relevant cases and mentions of other decisions that were of some importance to the German FRAND disputes.</w:t>
      </w:r>
    </w:p>
    <w:p w14:paraId="62DAE0B8" w14:textId="4AE28063" w:rsidR="001033F5" w:rsidRDefault="001033F5">
      <w:r>
        <w:t xml:space="preserve">With </w:t>
      </w:r>
      <w:r w:rsidR="00F54CC1">
        <w:t>all</w:t>
      </w:r>
      <w:r>
        <w:t xml:space="preserve"> these case numbers we compiled a spreadsheet with 58 cases</w:t>
      </w:r>
      <w:r w:rsidR="00F54CC1">
        <w:t>, divided into three sheets depending on where they came from. Sheet1 has the initial 31 cases that Dr. Baron had already studied [CHECK], Sheet2 had the cases that had a section and a link to a document at Kather Augenstein’s Databank (1</w:t>
      </w:r>
      <w:r w:rsidR="00D84C7D">
        <w:t>0</w:t>
      </w:r>
      <w:r w:rsidR="00F54CC1">
        <w:t xml:space="preserve"> </w:t>
      </w:r>
      <w:r w:rsidR="0086362A">
        <w:t xml:space="preserve">more </w:t>
      </w:r>
      <w:r w:rsidR="00F54CC1">
        <w:t>cases), and in Sheet3 we also took 1</w:t>
      </w:r>
      <w:r w:rsidR="00D84C7D">
        <w:t>7</w:t>
      </w:r>
      <w:r w:rsidR="00F54CC1">
        <w:t xml:space="preserve"> cases from the Databank, but those who were under the title of ‘Further decisions’.</w:t>
      </w:r>
    </w:p>
    <w:p w14:paraId="30CAB4C8" w14:textId="77C680AA" w:rsidR="00F54CC1" w:rsidRDefault="00A43960">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After compiling all these case numbers, we started to go through them to extract the following information:</w:t>
      </w:r>
    </w:p>
    <w:p w14:paraId="090FF4CA" w14:textId="6689CF1A" w:rsidR="00A43960" w:rsidRDefault="00A43960" w:rsidP="00A43960">
      <w:pPr>
        <w:pStyle w:val="ListParagraph"/>
        <w:numPr>
          <w:ilvl w:val="0"/>
          <w:numId w:val="1"/>
        </w:numPr>
        <w:rPr>
          <w:rFonts w:ascii="Calibri" w:eastAsia="Times New Roman" w:hAnsi="Calibri" w:cs="Calibri"/>
          <w:color w:val="000000"/>
          <w:kern w:val="0"/>
          <w:lang w:val="de-DE"/>
          <w14:ligatures w14:val="none"/>
        </w:rPr>
      </w:pPr>
      <w:r>
        <w:rPr>
          <w:rFonts w:ascii="Calibri" w:eastAsia="Times New Roman" w:hAnsi="Calibri" w:cs="Calibri"/>
          <w:color w:val="000000"/>
          <w:kern w:val="0"/>
          <w:lang w:val="de-DE"/>
          <w14:ligatures w14:val="none"/>
        </w:rPr>
        <w:t>Case number (</w:t>
      </w:r>
      <w:r w:rsidRPr="00A43960">
        <w:rPr>
          <w:rFonts w:ascii="Calibri" w:eastAsia="Times New Roman" w:hAnsi="Calibri" w:cs="Calibri"/>
          <w:i/>
          <w:iCs/>
          <w:color w:val="000000"/>
          <w:kern w:val="0"/>
          <w:lang w:val="de-DE"/>
          <w14:ligatures w14:val="none"/>
        </w:rPr>
        <w:t>Aktenzeichen</w:t>
      </w:r>
      <w:r>
        <w:rPr>
          <w:rFonts w:ascii="Calibri" w:eastAsia="Times New Roman" w:hAnsi="Calibri" w:cs="Calibri"/>
          <w:color w:val="000000"/>
          <w:kern w:val="0"/>
          <w:lang w:val="de-DE"/>
          <w14:ligatures w14:val="none"/>
        </w:rPr>
        <w:t>)</w:t>
      </w:r>
    </w:p>
    <w:p w14:paraId="121457CC" w14:textId="25997B3C" w:rsidR="00A43960" w:rsidRPr="00A43960" w:rsidRDefault="00A43960" w:rsidP="00A43960">
      <w:pPr>
        <w:pStyle w:val="ListParagraph"/>
        <w:numPr>
          <w:ilvl w:val="0"/>
          <w:numId w:val="1"/>
        </w:numPr>
        <w:rPr>
          <w:rFonts w:ascii="Calibri" w:eastAsia="Times New Roman" w:hAnsi="Calibri" w:cs="Calibri"/>
          <w:color w:val="000000"/>
          <w:kern w:val="0"/>
          <w:lang w:val="de-DE"/>
          <w14:ligatures w14:val="none"/>
        </w:rPr>
      </w:pPr>
      <w:r w:rsidRPr="00A43960">
        <w:rPr>
          <w:rFonts w:ascii="Calibri" w:eastAsia="Times New Roman" w:hAnsi="Calibri" w:cs="Calibri"/>
          <w:color w:val="000000"/>
          <w:kern w:val="0"/>
          <w:lang w:val="de-DE"/>
          <w14:ligatures w14:val="none"/>
        </w:rPr>
        <w:t xml:space="preserve">Court </w:t>
      </w:r>
      <w:r>
        <w:rPr>
          <w:rFonts w:ascii="Calibri" w:eastAsia="Times New Roman" w:hAnsi="Calibri" w:cs="Calibri"/>
          <w:color w:val="000000"/>
          <w:kern w:val="0"/>
          <w:lang w:val="de-DE"/>
          <w14:ligatures w14:val="none"/>
        </w:rPr>
        <w:t>(</w:t>
      </w:r>
      <w:r w:rsidRPr="00A43960">
        <w:rPr>
          <w:rFonts w:ascii="Calibri" w:eastAsia="Times New Roman" w:hAnsi="Calibri" w:cs="Calibri"/>
          <w:i/>
          <w:iCs/>
          <w:color w:val="000000"/>
          <w:kern w:val="0"/>
          <w:lang w:val="de-DE"/>
          <w14:ligatures w14:val="none"/>
        </w:rPr>
        <w:t>Landgericht</w:t>
      </w:r>
      <w:r w:rsidR="00681F16">
        <w:rPr>
          <w:rFonts w:ascii="Calibri" w:eastAsia="Times New Roman" w:hAnsi="Calibri" w:cs="Calibri"/>
          <w:color w:val="000000"/>
          <w:kern w:val="0"/>
          <w:lang w:val="de-DE"/>
          <w14:ligatures w14:val="none"/>
        </w:rPr>
        <w:t xml:space="preserve"> or </w:t>
      </w:r>
      <w:r w:rsidR="00681F16" w:rsidRPr="00681F16">
        <w:rPr>
          <w:rFonts w:ascii="Calibri" w:eastAsia="Times New Roman" w:hAnsi="Calibri" w:cs="Calibri"/>
          <w:i/>
          <w:iCs/>
          <w:color w:val="000000"/>
          <w:kern w:val="0"/>
          <w:lang w:val="de-DE"/>
          <w14:ligatures w14:val="none"/>
        </w:rPr>
        <w:t>LG</w:t>
      </w:r>
      <w:r>
        <w:rPr>
          <w:rFonts w:ascii="Calibri" w:eastAsia="Times New Roman" w:hAnsi="Calibri" w:cs="Calibri"/>
          <w:color w:val="000000"/>
          <w:kern w:val="0"/>
          <w:lang w:val="de-DE"/>
          <w14:ligatures w14:val="none"/>
        </w:rPr>
        <w:t>)</w:t>
      </w:r>
      <w:r w:rsidRPr="00A43960">
        <w:rPr>
          <w:rFonts w:ascii="Calibri" w:eastAsia="Times New Roman" w:hAnsi="Calibri" w:cs="Calibri"/>
          <w:color w:val="000000"/>
          <w:kern w:val="0"/>
          <w:lang w:val="de-DE"/>
          <w14:ligatures w14:val="none"/>
        </w:rPr>
        <w:t>: D</w:t>
      </w:r>
      <w:r>
        <w:rPr>
          <w:rFonts w:ascii="Calibri" w:eastAsia="Times New Roman" w:hAnsi="Calibri" w:cs="Calibri"/>
          <w:color w:val="000000"/>
          <w:kern w:val="0"/>
          <w:lang w:val="de-DE"/>
          <w14:ligatures w14:val="none"/>
        </w:rPr>
        <w:t>ue</w:t>
      </w:r>
      <w:r w:rsidRPr="00A43960">
        <w:rPr>
          <w:rFonts w:ascii="Calibri" w:eastAsia="Times New Roman" w:hAnsi="Calibri" w:cs="Calibri"/>
          <w:color w:val="000000"/>
          <w:kern w:val="0"/>
          <w:lang w:val="de-DE"/>
          <w14:ligatures w14:val="none"/>
        </w:rPr>
        <w:t>sseldorf, Mannheim or Munic</w:t>
      </w:r>
      <w:r>
        <w:rPr>
          <w:rFonts w:ascii="Calibri" w:eastAsia="Times New Roman" w:hAnsi="Calibri" w:cs="Calibri"/>
          <w:color w:val="000000"/>
          <w:kern w:val="0"/>
          <w:lang w:val="de-DE"/>
          <w14:ligatures w14:val="none"/>
        </w:rPr>
        <w:t>h.</w:t>
      </w:r>
    </w:p>
    <w:p w14:paraId="45BE4C9A" w14:textId="24C27F1C" w:rsidR="00A43960" w:rsidRDefault="00A43960" w:rsidP="00A43960">
      <w:pPr>
        <w:pStyle w:val="ListParagraph"/>
        <w:numPr>
          <w:ilvl w:val="0"/>
          <w:numId w:val="1"/>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Availability (</w:t>
      </w:r>
      <w:r w:rsidRPr="00A43960">
        <w:rPr>
          <w:rFonts w:ascii="Calibri" w:eastAsia="Times New Roman" w:hAnsi="Calibri" w:cs="Calibri"/>
          <w:i/>
          <w:iCs/>
          <w:color w:val="000000"/>
          <w:kern w:val="0"/>
          <w14:ligatures w14:val="none"/>
        </w:rPr>
        <w:t>Verfügbar</w:t>
      </w:r>
      <w:r>
        <w:rPr>
          <w:rFonts w:ascii="Calibri" w:eastAsia="Times New Roman" w:hAnsi="Calibri" w:cs="Calibri"/>
          <w:color w:val="000000"/>
          <w:kern w:val="0"/>
          <w14:ligatures w14:val="none"/>
        </w:rPr>
        <w:t>): Yes or No. Represents if we found the court decision for said case. There are also added characters to represent some remarks: for example, if the only available document was Kather Augenstein’s abbreviated version, we indicated that with an asterisk (‘*’); or if the decision document was available only at DartsIP, we indicated that with an exclamation mark (‘!’).</w:t>
      </w:r>
    </w:p>
    <w:p w14:paraId="63430C93" w14:textId="43DE13B5" w:rsidR="00A43960" w:rsidRPr="00A43960" w:rsidRDefault="00A43960" w:rsidP="00A43960">
      <w:pPr>
        <w:pStyle w:val="ListParagraph"/>
        <w:numPr>
          <w:ilvl w:val="0"/>
          <w:numId w:val="1"/>
        </w:numPr>
        <w:rPr>
          <w:rFonts w:ascii="Calibri" w:eastAsia="Times New Roman" w:hAnsi="Calibri" w:cs="Calibri"/>
          <w:color w:val="000000"/>
          <w:kern w:val="0"/>
          <w:lang w:val="de-DE"/>
          <w14:ligatures w14:val="none"/>
        </w:rPr>
      </w:pPr>
      <w:r w:rsidRPr="00A43960">
        <w:rPr>
          <w:rFonts w:ascii="Calibri" w:eastAsia="Times New Roman" w:hAnsi="Calibri" w:cs="Calibri"/>
          <w:color w:val="000000"/>
          <w:kern w:val="0"/>
          <w:lang w:val="de-DE"/>
          <w14:ligatures w14:val="none"/>
        </w:rPr>
        <w:t>Petition for an injunction (</w:t>
      </w:r>
      <w:r w:rsidRPr="00A43960">
        <w:rPr>
          <w:rFonts w:ascii="Calibri" w:eastAsia="Times New Roman" w:hAnsi="Calibri" w:cs="Calibri"/>
          <w:i/>
          <w:iCs/>
          <w:color w:val="000000"/>
          <w:kern w:val="0"/>
          <w:lang w:val="de-DE"/>
          <w14:ligatures w14:val="none"/>
        </w:rPr>
        <w:t>Die Beklagte wird verurteilt zu unterlassen</w:t>
      </w:r>
      <w:r w:rsidRPr="00A43960">
        <w:rPr>
          <w:rFonts w:ascii="Calibri" w:eastAsia="Times New Roman" w:hAnsi="Calibri" w:cs="Calibri"/>
          <w:color w:val="000000"/>
          <w:kern w:val="0"/>
          <w:lang w:val="de-DE"/>
          <w14:ligatures w14:val="none"/>
        </w:rPr>
        <w:t>)</w:t>
      </w:r>
      <w:r>
        <w:rPr>
          <w:rFonts w:ascii="Calibri" w:eastAsia="Times New Roman" w:hAnsi="Calibri" w:cs="Calibri"/>
          <w:color w:val="000000"/>
          <w:kern w:val="0"/>
          <w:lang w:val="de-DE"/>
          <w14:ligatures w14:val="none"/>
        </w:rPr>
        <w:t xml:space="preserve">: </w:t>
      </w:r>
      <w:r w:rsidRPr="00A43960">
        <w:rPr>
          <w:rFonts w:ascii="Calibri" w:eastAsia="Times New Roman" w:hAnsi="Calibri" w:cs="Calibri"/>
          <w:color w:val="000000"/>
          <w:kern w:val="0"/>
          <w:lang w:val="de-DE"/>
          <w14:ligatures w14:val="none"/>
        </w:rPr>
        <w:t xml:space="preserve">Yes or </w:t>
      </w:r>
      <w:r>
        <w:rPr>
          <w:rFonts w:ascii="Calibri" w:eastAsia="Times New Roman" w:hAnsi="Calibri" w:cs="Calibri"/>
          <w:color w:val="000000"/>
          <w:kern w:val="0"/>
          <w:lang w:val="de-DE"/>
          <w14:ligatures w14:val="none"/>
        </w:rPr>
        <w:t>N</w:t>
      </w:r>
      <w:r w:rsidRPr="00A43960">
        <w:rPr>
          <w:rFonts w:ascii="Calibri" w:eastAsia="Times New Roman" w:hAnsi="Calibri" w:cs="Calibri"/>
          <w:color w:val="000000"/>
          <w:kern w:val="0"/>
          <w:lang w:val="de-DE"/>
          <w14:ligatures w14:val="none"/>
        </w:rPr>
        <w:t>o.</w:t>
      </w:r>
    </w:p>
    <w:p w14:paraId="3F10F1C7" w14:textId="169171AF" w:rsidR="00A43960" w:rsidRDefault="00A43960" w:rsidP="00A43960">
      <w:pPr>
        <w:pStyle w:val="ListParagraph"/>
        <w:numPr>
          <w:ilvl w:val="0"/>
          <w:numId w:val="1"/>
        </w:numPr>
        <w:rPr>
          <w:rFonts w:ascii="Calibri" w:eastAsia="Times New Roman" w:hAnsi="Calibri" w:cs="Calibri"/>
          <w:color w:val="000000"/>
          <w:kern w:val="0"/>
          <w:lang w:val="de-DE"/>
          <w14:ligatures w14:val="none"/>
        </w:rPr>
      </w:pPr>
      <w:r w:rsidRPr="00A43960">
        <w:rPr>
          <w:rFonts w:ascii="Calibri" w:eastAsia="Times New Roman" w:hAnsi="Calibri" w:cs="Calibri"/>
          <w:color w:val="000000"/>
          <w:kern w:val="0"/>
          <w:lang w:val="de-DE"/>
          <w14:ligatures w14:val="none"/>
        </w:rPr>
        <w:t>Decision/Injunction (</w:t>
      </w:r>
      <w:r w:rsidRPr="00A43960">
        <w:rPr>
          <w:rFonts w:ascii="Calibri" w:eastAsia="Times New Roman" w:hAnsi="Calibri" w:cs="Calibri"/>
          <w:i/>
          <w:iCs/>
          <w:color w:val="000000"/>
          <w:kern w:val="0"/>
          <w:lang w:val="de-DE"/>
          <w14:ligatures w14:val="none"/>
        </w:rPr>
        <w:t>Entscheidung/Unterlassung</w:t>
      </w:r>
      <w:r w:rsidRPr="00A43960">
        <w:rPr>
          <w:rFonts w:ascii="Calibri" w:eastAsia="Times New Roman" w:hAnsi="Calibri" w:cs="Calibri"/>
          <w:color w:val="000000"/>
          <w:kern w:val="0"/>
          <w:lang w:val="de-DE"/>
          <w14:ligatures w14:val="none"/>
        </w:rPr>
        <w:t>): Yes,</w:t>
      </w:r>
      <w:r>
        <w:rPr>
          <w:rFonts w:ascii="Calibri" w:eastAsia="Times New Roman" w:hAnsi="Calibri" w:cs="Calibri"/>
          <w:color w:val="000000"/>
          <w:kern w:val="0"/>
          <w:lang w:val="de-DE"/>
          <w14:ligatures w14:val="none"/>
        </w:rPr>
        <w:t xml:space="preserve"> No or </w:t>
      </w:r>
      <w:r w:rsidR="009C0CC0" w:rsidRPr="009C0CC0">
        <w:rPr>
          <w:rFonts w:ascii="Calibri" w:eastAsia="Times New Roman" w:hAnsi="Calibri" w:cs="Calibri"/>
          <w:color w:val="000000"/>
          <w:kern w:val="0"/>
          <w:lang w:val="de-DE"/>
          <w14:ligatures w14:val="none"/>
        </w:rPr>
        <w:t>n./a.</w:t>
      </w:r>
    </w:p>
    <w:p w14:paraId="5EF536CC" w14:textId="437EE73D" w:rsidR="005D3328" w:rsidRDefault="005D3328" w:rsidP="00A43960">
      <w:pPr>
        <w:pStyle w:val="ListParagraph"/>
        <w:numPr>
          <w:ilvl w:val="0"/>
          <w:numId w:val="1"/>
        </w:numPr>
        <w:rPr>
          <w:rFonts w:ascii="Calibri" w:eastAsia="Times New Roman" w:hAnsi="Calibri" w:cs="Calibri"/>
          <w:color w:val="000000"/>
          <w:kern w:val="0"/>
          <w14:ligatures w14:val="none"/>
        </w:rPr>
      </w:pPr>
      <w:r w:rsidRPr="005D3328">
        <w:rPr>
          <w:rFonts w:ascii="Calibri" w:eastAsia="Times New Roman" w:hAnsi="Calibri" w:cs="Calibri"/>
          <w:color w:val="000000"/>
          <w:kern w:val="0"/>
          <w14:ligatures w14:val="none"/>
        </w:rPr>
        <w:t>Then we check for the d</w:t>
      </w:r>
      <w:r>
        <w:rPr>
          <w:rFonts w:ascii="Calibri" w:eastAsia="Times New Roman" w:hAnsi="Calibri" w:cs="Calibri"/>
          <w:color w:val="000000"/>
          <w:kern w:val="0"/>
          <w14:ligatures w14:val="none"/>
        </w:rPr>
        <w:t>ate for when the patent owner sued for an injunction (</w:t>
      </w:r>
      <w:r w:rsidRPr="005D3328">
        <w:rPr>
          <w:rFonts w:ascii="Calibri" w:eastAsia="Times New Roman" w:hAnsi="Calibri" w:cs="Calibri"/>
          <w:i/>
          <w:iCs/>
          <w:color w:val="000000"/>
          <w:kern w:val="0"/>
          <w14:ligatures w14:val="none"/>
        </w:rPr>
        <w:t>Klage auf Unterlassung</w:t>
      </w:r>
      <w:r>
        <w:rPr>
          <w:rFonts w:ascii="Calibri" w:eastAsia="Times New Roman" w:hAnsi="Calibri" w:cs="Calibri"/>
          <w:color w:val="000000"/>
          <w:kern w:val="0"/>
          <w14:ligatures w14:val="none"/>
        </w:rPr>
        <w:t>).</w:t>
      </w:r>
    </w:p>
    <w:p w14:paraId="3E6DD0DA" w14:textId="5CA60610" w:rsidR="005D3328" w:rsidRDefault="005D3328" w:rsidP="00A43960">
      <w:pPr>
        <w:pStyle w:val="ListParagraph"/>
        <w:numPr>
          <w:ilvl w:val="0"/>
          <w:numId w:val="1"/>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Date of the decision (</w:t>
      </w:r>
      <w:r>
        <w:rPr>
          <w:rFonts w:ascii="Calibri" w:eastAsia="Times New Roman" w:hAnsi="Calibri" w:cs="Calibri"/>
          <w:i/>
          <w:iCs/>
          <w:color w:val="000000"/>
          <w:kern w:val="0"/>
          <w14:ligatures w14:val="none"/>
        </w:rPr>
        <w:t>Urteil</w:t>
      </w:r>
      <w:r>
        <w:rPr>
          <w:rFonts w:ascii="Calibri" w:eastAsia="Times New Roman" w:hAnsi="Calibri" w:cs="Calibri"/>
          <w:color w:val="000000"/>
          <w:kern w:val="0"/>
          <w14:ligatures w14:val="none"/>
        </w:rPr>
        <w:t>).</w:t>
      </w:r>
    </w:p>
    <w:p w14:paraId="7D7C3537" w14:textId="3F6119B3" w:rsidR="005D3328" w:rsidRDefault="00BA2B63" w:rsidP="00A43960">
      <w:pPr>
        <w:pStyle w:val="ListParagraph"/>
        <w:numPr>
          <w:ilvl w:val="0"/>
          <w:numId w:val="1"/>
        </w:numPr>
        <w:rPr>
          <w:rFonts w:ascii="Calibri" w:eastAsia="Times New Roman" w:hAnsi="Calibri" w:cs="Calibri"/>
          <w:color w:val="000000"/>
          <w:kern w:val="0"/>
          <w14:ligatures w14:val="none"/>
        </w:rPr>
      </w:pPr>
      <w:r w:rsidRPr="00BA2B63">
        <w:rPr>
          <w:rFonts w:ascii="Calibri" w:eastAsia="Times New Roman" w:hAnsi="Calibri" w:cs="Calibri"/>
          <w:color w:val="000000"/>
          <w:kern w:val="0"/>
          <w14:ligatures w14:val="none"/>
        </w:rPr>
        <w:t>Prehuawei</w:t>
      </w:r>
      <w:r>
        <w:rPr>
          <w:rFonts w:ascii="Calibri" w:eastAsia="Times New Roman" w:hAnsi="Calibri" w:cs="Calibri"/>
          <w:color w:val="000000"/>
          <w:kern w:val="0"/>
          <w14:ligatures w14:val="none"/>
        </w:rPr>
        <w:t xml:space="preserve">: Those </w:t>
      </w:r>
      <w:r w:rsidR="001E331C">
        <w:rPr>
          <w:rFonts w:ascii="Calibri" w:eastAsia="Times New Roman" w:hAnsi="Calibri" w:cs="Calibri"/>
          <w:color w:val="000000"/>
          <w:kern w:val="0"/>
          <w14:ligatures w14:val="none"/>
        </w:rPr>
        <w:t>decisions</w:t>
      </w:r>
      <w:r>
        <w:rPr>
          <w:rFonts w:ascii="Calibri" w:eastAsia="Times New Roman" w:hAnsi="Calibri" w:cs="Calibri"/>
          <w:color w:val="000000"/>
          <w:kern w:val="0"/>
          <w14:ligatures w14:val="none"/>
        </w:rPr>
        <w:t xml:space="preserve"> that were prior</w:t>
      </w:r>
      <w:r w:rsidR="001E331C">
        <w:rPr>
          <w:rFonts w:ascii="Calibri" w:eastAsia="Times New Roman" w:hAnsi="Calibri" w:cs="Calibri"/>
          <w:color w:val="000000"/>
          <w:kern w:val="0"/>
          <w14:ligatures w14:val="none"/>
        </w:rPr>
        <w:t xml:space="preserve"> to</w:t>
      </w:r>
      <w:r>
        <w:rPr>
          <w:rFonts w:ascii="Calibri" w:eastAsia="Times New Roman" w:hAnsi="Calibri" w:cs="Calibri"/>
          <w:color w:val="000000"/>
          <w:kern w:val="0"/>
          <w14:ligatures w14:val="none"/>
        </w:rPr>
        <w:t xml:space="preserve"> the EUCJ</w:t>
      </w:r>
      <w:r w:rsidR="001E331C">
        <w:rPr>
          <w:rFonts w:ascii="Calibri" w:eastAsia="Times New Roman" w:hAnsi="Calibri" w:cs="Calibri"/>
          <w:color w:val="000000"/>
          <w:kern w:val="0"/>
          <w14:ligatures w14:val="none"/>
        </w:rPr>
        <w:t>’s decision</w:t>
      </w:r>
      <w:r>
        <w:rPr>
          <w:rFonts w:ascii="Calibri" w:eastAsia="Times New Roman" w:hAnsi="Calibri" w:cs="Calibri"/>
          <w:color w:val="000000"/>
          <w:kern w:val="0"/>
          <w14:ligatures w14:val="none"/>
        </w:rPr>
        <w:t xml:space="preserve"> on Huawei v ZTE</w:t>
      </w:r>
      <w:r w:rsidR="001E331C">
        <w:rPr>
          <w:rFonts w:ascii="Calibri" w:eastAsia="Times New Roman" w:hAnsi="Calibri" w:cs="Calibri"/>
          <w:color w:val="000000"/>
          <w:kern w:val="0"/>
          <w14:ligatures w14:val="none"/>
        </w:rPr>
        <w:t xml:space="preserve"> or were identified to be a transitional case were identified with a 1.</w:t>
      </w:r>
      <w:r w:rsidR="001A20C2">
        <w:rPr>
          <w:rFonts w:ascii="Calibri" w:eastAsia="Times New Roman" w:hAnsi="Calibri" w:cs="Calibri"/>
          <w:color w:val="000000"/>
          <w:kern w:val="0"/>
          <w14:ligatures w14:val="none"/>
        </w:rPr>
        <w:t xml:space="preserve"> Some of the graphs you will find in the descriptive analysis do not discriminate between the cases based on this variable, but others were explicitly carried out for all the cases that came after the European decision on Huawei v ZTE</w:t>
      </w:r>
      <w:r w:rsidR="009E574A">
        <w:rPr>
          <w:rStyle w:val="FootnoteReference"/>
          <w:rFonts w:ascii="Calibri" w:eastAsia="Times New Roman" w:hAnsi="Calibri" w:cs="Calibri"/>
          <w:color w:val="000000"/>
          <w:kern w:val="0"/>
          <w14:ligatures w14:val="none"/>
        </w:rPr>
        <w:footnoteReference w:id="2"/>
      </w:r>
      <w:r w:rsidR="001A20C2">
        <w:rPr>
          <w:rFonts w:ascii="Calibri" w:eastAsia="Times New Roman" w:hAnsi="Calibri" w:cs="Calibri"/>
          <w:color w:val="000000"/>
          <w:kern w:val="0"/>
          <w14:ligatures w14:val="none"/>
        </w:rPr>
        <w:t>.</w:t>
      </w:r>
      <w:r w:rsidR="002C751B">
        <w:rPr>
          <w:rFonts w:ascii="Calibri" w:eastAsia="Times New Roman" w:hAnsi="Calibri" w:cs="Calibri"/>
          <w:color w:val="000000"/>
          <w:kern w:val="0"/>
          <w14:ligatures w14:val="none"/>
        </w:rPr>
        <w:t xml:space="preserve"> [CHECK the mention of the distinction of when we use 45 cases and when 35 -no 1s for this variable-. On the same note, check the footnote]</w:t>
      </w:r>
    </w:p>
    <w:p w14:paraId="79154EFA" w14:textId="67DCC46A" w:rsidR="001E331C" w:rsidRDefault="001E331C" w:rsidP="00A43960">
      <w:pPr>
        <w:pStyle w:val="ListParagraph"/>
        <w:numPr>
          <w:ilvl w:val="0"/>
          <w:numId w:val="1"/>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AASI: Anti-Anti-Suit Injunction. Those cases that were identified to be so were labelled with a 1 for this variable.</w:t>
      </w:r>
    </w:p>
    <w:p w14:paraId="00E630B1" w14:textId="0D39FC89" w:rsidR="001E331C" w:rsidRDefault="00584AAE" w:rsidP="00A43960">
      <w:pPr>
        <w:pStyle w:val="ListParagraph"/>
        <w:numPr>
          <w:ilvl w:val="0"/>
          <w:numId w:val="1"/>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lastRenderedPageBreak/>
        <w:t>Value of the fight (</w:t>
      </w:r>
      <w:r>
        <w:rPr>
          <w:rFonts w:ascii="Calibri" w:eastAsia="Times New Roman" w:hAnsi="Calibri" w:cs="Calibri"/>
          <w:i/>
          <w:iCs/>
          <w:color w:val="000000"/>
          <w:kern w:val="0"/>
          <w14:ligatures w14:val="none"/>
        </w:rPr>
        <w:t>Streitwert</w:t>
      </w:r>
      <w:r>
        <w:rPr>
          <w:rFonts w:ascii="Calibri" w:eastAsia="Times New Roman" w:hAnsi="Calibri" w:cs="Calibri"/>
          <w:color w:val="000000"/>
          <w:kern w:val="0"/>
          <w14:ligatures w14:val="none"/>
        </w:rPr>
        <w:t>):</w:t>
      </w:r>
      <w:r w:rsidR="00445F56">
        <w:rPr>
          <w:rFonts w:ascii="Calibri" w:eastAsia="Times New Roman" w:hAnsi="Calibri" w:cs="Calibri"/>
          <w:color w:val="000000"/>
          <w:kern w:val="0"/>
          <w14:ligatures w14:val="none"/>
        </w:rPr>
        <w:t xml:space="preserve"> </w:t>
      </w:r>
      <w:r w:rsidR="007558DB">
        <w:rPr>
          <w:rFonts w:ascii="Calibri" w:eastAsia="Times New Roman" w:hAnsi="Calibri" w:cs="Calibri"/>
          <w:color w:val="000000"/>
          <w:kern w:val="0"/>
          <w14:ligatures w14:val="none"/>
        </w:rPr>
        <w:t>value expressed in Euros, sadly it is only available for cases from D</w:t>
      </w:r>
      <w:r w:rsidR="007558DB" w:rsidRPr="007558DB">
        <w:rPr>
          <w:rFonts w:ascii="Calibri" w:eastAsia="Times New Roman" w:hAnsi="Calibri" w:cs="Calibri"/>
          <w:color w:val="000000"/>
          <w:kern w:val="0"/>
          <w14:ligatures w14:val="none"/>
        </w:rPr>
        <w:t>ü</w:t>
      </w:r>
      <w:r w:rsidR="007558DB">
        <w:rPr>
          <w:rFonts w:ascii="Calibri" w:eastAsia="Times New Roman" w:hAnsi="Calibri" w:cs="Calibri"/>
          <w:color w:val="000000"/>
          <w:kern w:val="0"/>
          <w14:ligatures w14:val="none"/>
        </w:rPr>
        <w:t>sseldorf.</w:t>
      </w:r>
    </w:p>
    <w:p w14:paraId="1BCDDE6E" w14:textId="46D81198" w:rsidR="007558DB" w:rsidRDefault="00D84C7D" w:rsidP="003A2D10">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The next step was to filter the cases, for which we used some of the variables listed above. If one legal dispute had a 1 for AASI, the plaintiff had not explicitly asked for an injunction or in the decision there was no clear mention of the injunction, these cases were dismissed. So after applying these filters, we went from 58 cases down to </w:t>
      </w:r>
      <w:r w:rsidR="00ED0249">
        <w:rPr>
          <w:rFonts w:ascii="Calibri" w:eastAsia="Times New Roman" w:hAnsi="Calibri" w:cs="Calibri"/>
          <w:color w:val="000000"/>
          <w:kern w:val="0"/>
          <w14:ligatures w14:val="none"/>
        </w:rPr>
        <w:t>45</w:t>
      </w:r>
      <w:r w:rsidR="00465A2F">
        <w:rPr>
          <w:rStyle w:val="FootnoteReference"/>
          <w:rFonts w:ascii="Calibri" w:eastAsia="Times New Roman" w:hAnsi="Calibri" w:cs="Calibri"/>
          <w:color w:val="000000"/>
          <w:kern w:val="0"/>
          <w14:ligatures w14:val="none"/>
        </w:rPr>
        <w:footnoteReference w:id="3"/>
      </w:r>
      <w:r w:rsidR="00ED0249">
        <w:rPr>
          <w:rFonts w:ascii="Calibri" w:eastAsia="Times New Roman" w:hAnsi="Calibri" w:cs="Calibri"/>
          <w:color w:val="000000"/>
          <w:kern w:val="0"/>
          <w14:ligatures w14:val="none"/>
        </w:rPr>
        <w:t>.</w:t>
      </w:r>
    </w:p>
    <w:p w14:paraId="127AF9BF" w14:textId="73780721" w:rsidR="00B91FCA" w:rsidRDefault="003A2D10" w:rsidP="001F361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For all the remaining cases, we checked for the following dates within their decisions’ documents:</w:t>
      </w:r>
    </w:p>
    <w:p w14:paraId="612FC277" w14:textId="33D0C48B" w:rsidR="003A2D10" w:rsidRPr="001F3613" w:rsidRDefault="003A2D10" w:rsidP="001F3613">
      <w:pPr>
        <w:pStyle w:val="ListParagraph"/>
        <w:numPr>
          <w:ilvl w:val="0"/>
          <w:numId w:val="3"/>
        </w:numPr>
        <w:rPr>
          <w:rFonts w:ascii="Calibri" w:eastAsia="Times New Roman" w:hAnsi="Calibri" w:cs="Calibri"/>
          <w:color w:val="000000"/>
          <w:kern w:val="0"/>
          <w14:ligatures w14:val="none"/>
        </w:rPr>
      </w:pPr>
      <w:r w:rsidRPr="001F3613">
        <w:rPr>
          <w:rFonts w:ascii="Calibri" w:eastAsia="Times New Roman" w:hAnsi="Calibri" w:cs="Calibri"/>
          <w:color w:val="000000"/>
          <w:kern w:val="0"/>
          <w14:ligatures w14:val="none"/>
        </w:rPr>
        <w:t>Firs</w:t>
      </w:r>
      <w:r w:rsidR="001F3613">
        <w:rPr>
          <w:rFonts w:ascii="Calibri" w:eastAsia="Times New Roman" w:hAnsi="Calibri" w:cs="Calibri"/>
          <w:color w:val="000000"/>
          <w:kern w:val="0"/>
          <w14:ligatures w14:val="none"/>
        </w:rPr>
        <w:t>t</w:t>
      </w:r>
      <w:r w:rsidRPr="001F3613">
        <w:rPr>
          <w:rFonts w:ascii="Calibri" w:eastAsia="Times New Roman" w:hAnsi="Calibri" w:cs="Calibri"/>
          <w:color w:val="000000"/>
          <w:kern w:val="0"/>
          <w14:ligatures w14:val="none"/>
        </w:rPr>
        <w:t xml:space="preserve"> contact</w:t>
      </w:r>
    </w:p>
    <w:p w14:paraId="3DA567DE" w14:textId="7F6C2A12" w:rsidR="003A2D10" w:rsidRPr="001F3613" w:rsidRDefault="001F3613" w:rsidP="001F3613">
      <w:pPr>
        <w:pStyle w:val="ListParagraph"/>
        <w:numPr>
          <w:ilvl w:val="0"/>
          <w:numId w:val="3"/>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O</w:t>
      </w:r>
      <w:r w:rsidR="003A2D10" w:rsidRPr="001F3613">
        <w:rPr>
          <w:rFonts w:ascii="Calibri" w:eastAsia="Times New Roman" w:hAnsi="Calibri" w:cs="Calibri"/>
          <w:color w:val="000000"/>
          <w:kern w:val="0"/>
          <w14:ligatures w14:val="none"/>
        </w:rPr>
        <w:t>f complaint</w:t>
      </w:r>
    </w:p>
    <w:p w14:paraId="7AB761BF" w14:textId="79166CA4" w:rsidR="003A2D10" w:rsidRPr="001F3613" w:rsidRDefault="003A2D10" w:rsidP="001F3613">
      <w:pPr>
        <w:pStyle w:val="ListParagraph"/>
        <w:numPr>
          <w:ilvl w:val="0"/>
          <w:numId w:val="3"/>
        </w:numPr>
        <w:rPr>
          <w:rFonts w:ascii="Calibri" w:eastAsia="Times New Roman" w:hAnsi="Calibri" w:cs="Calibri"/>
          <w:color w:val="000000"/>
          <w:kern w:val="0"/>
          <w14:ligatures w14:val="none"/>
        </w:rPr>
      </w:pPr>
      <w:r w:rsidRPr="001F3613">
        <w:rPr>
          <w:rFonts w:ascii="Calibri" w:eastAsia="Times New Roman" w:hAnsi="Calibri" w:cs="Calibri"/>
          <w:color w:val="000000"/>
          <w:kern w:val="0"/>
          <w14:ligatures w14:val="none"/>
        </w:rPr>
        <w:t>First licensing offer</w:t>
      </w:r>
    </w:p>
    <w:p w14:paraId="550773A1" w14:textId="4465618B" w:rsidR="009B2453" w:rsidRDefault="002177DE" w:rsidP="001F361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Then we looked for mentions of patent pools and worldwide license offers, creating two Yes, No or ? variables called Pool and Worldwide respectively.</w:t>
      </w:r>
      <w:r w:rsidR="00D15C80">
        <w:rPr>
          <w:rFonts w:ascii="Calibri" w:eastAsia="Times New Roman" w:hAnsi="Calibri" w:cs="Calibri"/>
          <w:color w:val="000000"/>
          <w:kern w:val="0"/>
          <w14:ligatures w14:val="none"/>
        </w:rPr>
        <w:t xml:space="preserve"> Once that was done, we focused on the FRAND defense</w:t>
      </w:r>
      <w:r w:rsidR="007902E9">
        <w:rPr>
          <w:rFonts w:ascii="Calibri" w:eastAsia="Times New Roman" w:hAnsi="Calibri" w:cs="Calibri"/>
          <w:color w:val="000000"/>
          <w:kern w:val="0"/>
          <w14:ligatures w14:val="none"/>
        </w:rPr>
        <w:t>, which is comprised of the following steps: dominant position, notice of infringement, willingness to license and the evaluation of the offer (FRAND or not). To express them, we created the following variables and populated them with Yes, No, question mark ‘?’ (when not addressed) and hypnone ‘</w:t>
      </w:r>
      <w:r w:rsidR="002C2FF4">
        <w:rPr>
          <w:rFonts w:ascii="Calibri" w:eastAsia="Times New Roman" w:hAnsi="Calibri" w:cs="Calibri"/>
          <w:color w:val="000000"/>
          <w:kern w:val="0"/>
          <w14:ligatures w14:val="none"/>
        </w:rPr>
        <w:t>-‘ if</w:t>
      </w:r>
      <w:r w:rsidR="007902E9">
        <w:rPr>
          <w:rFonts w:ascii="Calibri" w:eastAsia="Times New Roman" w:hAnsi="Calibri" w:cs="Calibri"/>
          <w:color w:val="000000"/>
          <w:kern w:val="0"/>
          <w14:ligatures w14:val="none"/>
        </w:rPr>
        <w:t xml:space="preserve"> a previous step value invalidated a subsequent one or made it not necessary to check, the variables are:</w:t>
      </w:r>
    </w:p>
    <w:p w14:paraId="67F9D000" w14:textId="42DF2B11" w:rsidR="007902E9" w:rsidRDefault="007902E9" w:rsidP="007902E9">
      <w:pPr>
        <w:pStyle w:val="ListParagraph"/>
        <w:numPr>
          <w:ilvl w:val="0"/>
          <w:numId w:val="4"/>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Dominant position</w:t>
      </w:r>
    </w:p>
    <w:p w14:paraId="1154010B" w14:textId="36BDEFEB" w:rsidR="007902E9" w:rsidRDefault="007902E9" w:rsidP="007902E9">
      <w:pPr>
        <w:pStyle w:val="ListParagraph"/>
        <w:numPr>
          <w:ilvl w:val="0"/>
          <w:numId w:val="4"/>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Abuse of dominant position</w:t>
      </w:r>
    </w:p>
    <w:p w14:paraId="216E76C5" w14:textId="23D270FA" w:rsidR="007902E9" w:rsidRDefault="007902E9" w:rsidP="007902E9">
      <w:pPr>
        <w:pStyle w:val="ListParagraph"/>
        <w:numPr>
          <w:ilvl w:val="0"/>
          <w:numId w:val="4"/>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Notice of infringement</w:t>
      </w:r>
    </w:p>
    <w:p w14:paraId="7E5A260A" w14:textId="78DDE6D2" w:rsidR="007902E9" w:rsidRDefault="007902E9" w:rsidP="007902E9">
      <w:pPr>
        <w:pStyle w:val="ListParagraph"/>
        <w:numPr>
          <w:ilvl w:val="0"/>
          <w:numId w:val="4"/>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Willingness to license</w:t>
      </w:r>
    </w:p>
    <w:p w14:paraId="6818F657" w14:textId="7CD3BFC3" w:rsidR="007902E9" w:rsidRDefault="007902E9" w:rsidP="007902E9">
      <w:pPr>
        <w:pStyle w:val="ListParagraph"/>
        <w:numPr>
          <w:ilvl w:val="0"/>
          <w:numId w:val="4"/>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FRAND offer</w:t>
      </w:r>
    </w:p>
    <w:p w14:paraId="11E628CA" w14:textId="53F608BC" w:rsidR="007902E9" w:rsidRDefault="007902E9" w:rsidP="007902E9">
      <w:pPr>
        <w:pStyle w:val="ListParagraph"/>
        <w:numPr>
          <w:ilvl w:val="0"/>
          <w:numId w:val="4"/>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Formal (formally FRAND)</w:t>
      </w:r>
    </w:p>
    <w:p w14:paraId="18CBFC90" w14:textId="765684A2" w:rsidR="007902E9" w:rsidRPr="007902E9" w:rsidRDefault="007902E9" w:rsidP="007902E9">
      <w:pPr>
        <w:pStyle w:val="ListParagraph"/>
        <w:numPr>
          <w:ilvl w:val="0"/>
          <w:numId w:val="4"/>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Substantially (substantially FRAND)</w:t>
      </w:r>
    </w:p>
    <w:p w14:paraId="4CBCB7FF" w14:textId="6FC1F1F3" w:rsidR="00681F16" w:rsidRDefault="00E42145" w:rsidP="001F361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The next section of consisted in searching for further legal proceedings for the 45 cases under study. Here we checked by court and level/instance [CHECK wording], from the immediately above up to the highest one. Here we </w:t>
      </w:r>
      <w:r w:rsidR="00681F16">
        <w:rPr>
          <w:rFonts w:ascii="Calibri" w:eastAsia="Times New Roman" w:hAnsi="Calibri" w:cs="Calibri"/>
          <w:color w:val="000000"/>
          <w:kern w:val="0"/>
          <w14:ligatures w14:val="none"/>
        </w:rPr>
        <w:t>created four binary variables:</w:t>
      </w:r>
    </w:p>
    <w:p w14:paraId="0E69A25D" w14:textId="295EE687" w:rsidR="00681F16" w:rsidRDefault="00681F16" w:rsidP="00681F16">
      <w:pPr>
        <w:pStyle w:val="ListParagraph"/>
        <w:numPr>
          <w:ilvl w:val="0"/>
          <w:numId w:val="5"/>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Further proceedings</w:t>
      </w:r>
    </w:p>
    <w:p w14:paraId="0273412F" w14:textId="1739A4FC" w:rsidR="00681F16" w:rsidRDefault="00681F16" w:rsidP="00681F16">
      <w:pPr>
        <w:pStyle w:val="ListParagraph"/>
        <w:numPr>
          <w:ilvl w:val="0"/>
          <w:numId w:val="5"/>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OLG Appeal</w:t>
      </w:r>
    </w:p>
    <w:p w14:paraId="22795ECD" w14:textId="405D77B2" w:rsidR="00681F16" w:rsidRDefault="00681F16" w:rsidP="00681F16">
      <w:pPr>
        <w:pStyle w:val="ListParagraph"/>
        <w:numPr>
          <w:ilvl w:val="0"/>
          <w:numId w:val="5"/>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OLG First instance (this one was surprising to us, but in DartsIP there were two cases where they identified </w:t>
      </w:r>
      <w:r w:rsidR="00427217">
        <w:rPr>
          <w:rFonts w:ascii="Calibri" w:eastAsia="Times New Roman" w:hAnsi="Calibri" w:cs="Calibri"/>
          <w:color w:val="000000"/>
          <w:kern w:val="0"/>
          <w14:ligatures w14:val="none"/>
        </w:rPr>
        <w:t>proceedings in an OLG but as first instance, these two also had first instance LG proceedings, which were the ones that lead us to the OLG ones, like in all of the other cases under study).</w:t>
      </w:r>
    </w:p>
    <w:p w14:paraId="57D77E5E" w14:textId="7F5DCE7A" w:rsidR="00681F16" w:rsidRDefault="00681F16" w:rsidP="00681F16">
      <w:pPr>
        <w:pStyle w:val="ListParagraph"/>
        <w:numPr>
          <w:ilvl w:val="0"/>
          <w:numId w:val="5"/>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lastRenderedPageBreak/>
        <w:t>Bundesgerichtsof</w:t>
      </w:r>
      <w:r w:rsidR="00427217">
        <w:rPr>
          <w:rFonts w:ascii="Calibri" w:eastAsia="Times New Roman" w:hAnsi="Calibri" w:cs="Calibri"/>
          <w:color w:val="000000"/>
          <w:kern w:val="0"/>
          <w14:ligatures w14:val="none"/>
        </w:rPr>
        <w:t xml:space="preserve"> (Federal Court of Justice)</w:t>
      </w:r>
    </w:p>
    <w:p w14:paraId="517D18C5" w14:textId="0F5A097A" w:rsidR="00681F16" w:rsidRDefault="00427217" w:rsidP="00427217">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Accompanying these four variables, we created three others, one for each level of proceedings, in which we compiled the decision of the respective proceeding; these were:</w:t>
      </w:r>
    </w:p>
    <w:p w14:paraId="4BC951D9" w14:textId="02C18ED9" w:rsidR="00427217" w:rsidRDefault="00427217" w:rsidP="00427217">
      <w:pPr>
        <w:pStyle w:val="ListParagraph"/>
        <w:numPr>
          <w:ilvl w:val="0"/>
          <w:numId w:val="6"/>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Result of the appeal</w:t>
      </w:r>
    </w:p>
    <w:p w14:paraId="34118DF3" w14:textId="735374E2" w:rsidR="00427217" w:rsidRDefault="00427217" w:rsidP="00427217">
      <w:pPr>
        <w:pStyle w:val="ListParagraph"/>
        <w:numPr>
          <w:ilvl w:val="0"/>
          <w:numId w:val="6"/>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Result of the f.instance</w:t>
      </w:r>
    </w:p>
    <w:p w14:paraId="2611F284" w14:textId="4CA89E3B" w:rsidR="00427217" w:rsidRPr="00427217" w:rsidRDefault="00427217" w:rsidP="00427217">
      <w:pPr>
        <w:pStyle w:val="ListParagraph"/>
        <w:numPr>
          <w:ilvl w:val="0"/>
          <w:numId w:val="6"/>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Result of the Judicial Review</w:t>
      </w:r>
    </w:p>
    <w:p w14:paraId="2C6108C3" w14:textId="76785FAD" w:rsidR="00F22A28" w:rsidRDefault="00DA0076" w:rsidP="001F361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The last section is related to the patent numbers and the patent validity proceedings. The patent numbers were extracted from the decisions’ documents and from DartsIP when the former did not explicitly mention them or they were redacted. </w:t>
      </w:r>
      <w:r w:rsidR="00F22A28">
        <w:rPr>
          <w:rFonts w:ascii="Calibri" w:eastAsia="Times New Roman" w:hAnsi="Calibri" w:cs="Calibri"/>
          <w:color w:val="000000"/>
          <w:kern w:val="0"/>
          <w14:ligatures w14:val="none"/>
        </w:rPr>
        <w:t>We also checked in Espacenet for the German patent numbers, since most of the ones that we found were for European patent numbers. We put them down under two variables, Patents for the ones listed in the documents and in DartsIP and Espacenet for the ones that resulted from the expanded search for the European patents that did not list German patent numbers.</w:t>
      </w:r>
    </w:p>
    <w:p w14:paraId="79CD2CE6" w14:textId="57810609" w:rsidR="002177DE" w:rsidRDefault="00DA0076" w:rsidP="001F361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With th</w:t>
      </w:r>
      <w:r w:rsidR="00F22A28">
        <w:rPr>
          <w:rFonts w:ascii="Calibri" w:eastAsia="Times New Roman" w:hAnsi="Calibri" w:cs="Calibri"/>
          <w:color w:val="000000"/>
          <w:kern w:val="0"/>
          <w14:ligatures w14:val="none"/>
        </w:rPr>
        <w:t>ese two set of</w:t>
      </w:r>
      <w:r>
        <w:rPr>
          <w:rFonts w:ascii="Calibri" w:eastAsia="Times New Roman" w:hAnsi="Calibri" w:cs="Calibri"/>
          <w:color w:val="000000"/>
          <w:kern w:val="0"/>
          <w14:ligatures w14:val="none"/>
        </w:rPr>
        <w:t xml:space="preserve"> numbers, we first checked the German Federal Patent Court (</w:t>
      </w:r>
      <w:r>
        <w:rPr>
          <w:rFonts w:ascii="Calibri" w:eastAsia="Times New Roman" w:hAnsi="Calibri" w:cs="Calibri"/>
          <w:i/>
          <w:iCs/>
          <w:color w:val="000000"/>
          <w:kern w:val="0"/>
          <w14:ligatures w14:val="none"/>
        </w:rPr>
        <w:t>Bundespatentgericht</w:t>
      </w:r>
      <w:r>
        <w:rPr>
          <w:rFonts w:ascii="Calibri" w:eastAsia="Times New Roman" w:hAnsi="Calibri" w:cs="Calibri"/>
          <w:color w:val="000000"/>
          <w:kern w:val="0"/>
          <w14:ligatures w14:val="none"/>
        </w:rPr>
        <w:t>)</w:t>
      </w:r>
      <w:r w:rsidR="0002759E">
        <w:rPr>
          <w:rFonts w:ascii="Calibri" w:eastAsia="Times New Roman" w:hAnsi="Calibri" w:cs="Calibri"/>
          <w:color w:val="000000"/>
          <w:kern w:val="0"/>
          <w14:ligatures w14:val="none"/>
        </w:rPr>
        <w:t xml:space="preserve"> and found some legal action against the patents for 30 of our 45 cases (here is relevant to mention that from these 30 actions, some are repeated because some of our initial 45 cases could share the infringed patents in question between actions from different courts or different defendants). For all of them we also noted the decision that the Federal Patent Court ruled</w:t>
      </w:r>
      <w:r w:rsidR="00C54E27">
        <w:rPr>
          <w:rFonts w:ascii="Calibri" w:eastAsia="Times New Roman" w:hAnsi="Calibri" w:cs="Calibri"/>
          <w:color w:val="000000"/>
          <w:kern w:val="0"/>
          <w14:ligatures w14:val="none"/>
        </w:rPr>
        <w:t>, the date of the complaint and of the decision</w:t>
      </w:r>
      <w:r w:rsidR="0002759E">
        <w:rPr>
          <w:rFonts w:ascii="Calibri" w:eastAsia="Times New Roman" w:hAnsi="Calibri" w:cs="Calibri"/>
          <w:color w:val="000000"/>
          <w:kern w:val="0"/>
          <w14:ligatures w14:val="none"/>
        </w:rPr>
        <w:t xml:space="preserve">. Out of these 30 observations, we identified </w:t>
      </w:r>
      <w:r w:rsidR="00F22A28">
        <w:rPr>
          <w:rFonts w:ascii="Calibri" w:eastAsia="Times New Roman" w:hAnsi="Calibri" w:cs="Calibri"/>
          <w:color w:val="000000"/>
          <w:kern w:val="0"/>
          <w14:ligatures w14:val="none"/>
        </w:rPr>
        <w:t>20</w:t>
      </w:r>
      <w:r w:rsidR="0002759E">
        <w:rPr>
          <w:rFonts w:ascii="Calibri" w:eastAsia="Times New Roman" w:hAnsi="Calibri" w:cs="Calibri"/>
          <w:color w:val="000000"/>
          <w:kern w:val="0"/>
          <w14:ligatures w14:val="none"/>
        </w:rPr>
        <w:t xml:space="preserve"> unique patent validity proceedings</w:t>
      </w:r>
      <w:r w:rsidR="00F22A28">
        <w:rPr>
          <w:rFonts w:ascii="Calibri" w:eastAsia="Times New Roman" w:hAnsi="Calibri" w:cs="Calibri"/>
          <w:color w:val="000000"/>
          <w:kern w:val="0"/>
          <w14:ligatures w14:val="none"/>
        </w:rPr>
        <w:t>.</w:t>
      </w:r>
      <w:r w:rsidR="00235A7F">
        <w:rPr>
          <w:rFonts w:ascii="Calibri" w:eastAsia="Times New Roman" w:hAnsi="Calibri" w:cs="Calibri"/>
          <w:color w:val="000000"/>
          <w:kern w:val="0"/>
          <w14:ligatures w14:val="none"/>
        </w:rPr>
        <w:t xml:space="preserve"> We created five variables:</w:t>
      </w:r>
    </w:p>
    <w:p w14:paraId="7C224E59" w14:textId="08F9CB03" w:rsidR="00235A7F" w:rsidRDefault="00235A7F" w:rsidP="00235A7F">
      <w:pPr>
        <w:pStyle w:val="ListParagraph"/>
        <w:numPr>
          <w:ilvl w:val="0"/>
          <w:numId w:val="7"/>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Patent validity proceedings.</w:t>
      </w:r>
    </w:p>
    <w:p w14:paraId="5072877E" w14:textId="484078C7" w:rsidR="00235A7F" w:rsidRDefault="00235A7F" w:rsidP="00235A7F">
      <w:pPr>
        <w:pStyle w:val="ListParagraph"/>
        <w:numPr>
          <w:ilvl w:val="0"/>
          <w:numId w:val="7"/>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Number of the patent validity proceeding (Aktenzeichen Bundespatentgerichts)</w:t>
      </w:r>
    </w:p>
    <w:p w14:paraId="2BD4AC91" w14:textId="18172502" w:rsidR="00235A7F" w:rsidRDefault="00235A7F" w:rsidP="00235A7F">
      <w:pPr>
        <w:pStyle w:val="ListParagraph"/>
        <w:numPr>
          <w:ilvl w:val="0"/>
          <w:numId w:val="7"/>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Decision date</w:t>
      </w:r>
    </w:p>
    <w:p w14:paraId="065B64C7" w14:textId="2EAAFFBF" w:rsidR="00235A7F" w:rsidRDefault="00235A7F" w:rsidP="00235A7F">
      <w:pPr>
        <w:pStyle w:val="ListParagraph"/>
        <w:numPr>
          <w:ilvl w:val="0"/>
          <w:numId w:val="7"/>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Complaint date</w:t>
      </w:r>
    </w:p>
    <w:p w14:paraId="3DBA1565" w14:textId="33E71C01" w:rsidR="00235A7F" w:rsidRPr="00235A7F" w:rsidRDefault="00235A7F" w:rsidP="00235A7F">
      <w:pPr>
        <w:pStyle w:val="ListParagraph"/>
        <w:numPr>
          <w:ilvl w:val="0"/>
          <w:numId w:val="7"/>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Result of the patent validity</w:t>
      </w:r>
    </w:p>
    <w:p w14:paraId="4646EAF0" w14:textId="5047B37B" w:rsidR="0002759E" w:rsidRPr="00D84C7D" w:rsidRDefault="0002759E" w:rsidP="001F361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Something that struck our </w:t>
      </w:r>
      <w:r w:rsidR="00235A7F">
        <w:rPr>
          <w:rFonts w:ascii="Calibri" w:eastAsia="Times New Roman" w:hAnsi="Calibri" w:cs="Calibri"/>
          <w:color w:val="000000"/>
          <w:kern w:val="0"/>
          <w14:ligatures w14:val="none"/>
        </w:rPr>
        <w:t>attention</w:t>
      </w:r>
      <w:r>
        <w:rPr>
          <w:rFonts w:ascii="Calibri" w:eastAsia="Times New Roman" w:hAnsi="Calibri" w:cs="Calibri"/>
          <w:color w:val="000000"/>
          <w:kern w:val="0"/>
          <w14:ligatures w14:val="none"/>
        </w:rPr>
        <w:t xml:space="preserve"> was the considerable number of patents that seemed to not have had their validity challenged.</w:t>
      </w:r>
      <w:r w:rsidR="00C54E27">
        <w:rPr>
          <w:rFonts w:ascii="Calibri" w:eastAsia="Times New Roman" w:hAnsi="Calibri" w:cs="Calibri"/>
          <w:color w:val="000000"/>
          <w:kern w:val="0"/>
          <w14:ligatures w14:val="none"/>
        </w:rPr>
        <w:t xml:space="preserve"> That was why we </w:t>
      </w:r>
      <w:r w:rsidR="00235A7F">
        <w:rPr>
          <w:rFonts w:ascii="Calibri" w:eastAsia="Times New Roman" w:hAnsi="Calibri" w:cs="Calibri"/>
          <w:color w:val="000000"/>
          <w:kern w:val="0"/>
          <w14:ligatures w14:val="none"/>
        </w:rPr>
        <w:t>conducted searches in</w:t>
      </w:r>
      <w:r w:rsidR="00C54E27">
        <w:rPr>
          <w:rFonts w:ascii="Calibri" w:eastAsia="Times New Roman" w:hAnsi="Calibri" w:cs="Calibri"/>
          <w:color w:val="000000"/>
          <w:kern w:val="0"/>
          <w14:ligatures w14:val="none"/>
        </w:rPr>
        <w:t xml:space="preserve"> DartsIP and Espacenet for information on patent validity proceedings for the remaining patents. As expected, we found that almost all of them had been challenged, so we updated the</w:t>
      </w:r>
      <w:r w:rsidR="00235A7F">
        <w:rPr>
          <w:rFonts w:ascii="Calibri" w:eastAsia="Times New Roman" w:hAnsi="Calibri" w:cs="Calibri"/>
          <w:color w:val="000000"/>
          <w:kern w:val="0"/>
          <w14:ligatures w14:val="none"/>
        </w:rPr>
        <w:t xml:space="preserve"> first four variables from the last list</w:t>
      </w:r>
      <w:r w:rsidR="009F1241">
        <w:rPr>
          <w:rFonts w:ascii="Calibri" w:eastAsia="Times New Roman" w:hAnsi="Calibri" w:cs="Calibri"/>
          <w:color w:val="000000"/>
          <w:kern w:val="0"/>
          <w14:ligatures w14:val="none"/>
        </w:rPr>
        <w:t xml:space="preserve"> for these new 11 unique cases</w:t>
      </w:r>
      <w:r w:rsidR="00235A7F">
        <w:rPr>
          <w:rFonts w:ascii="Calibri" w:eastAsia="Times New Roman" w:hAnsi="Calibri" w:cs="Calibri"/>
          <w:color w:val="000000"/>
          <w:kern w:val="0"/>
          <w14:ligatures w14:val="none"/>
        </w:rPr>
        <w:t>,</w:t>
      </w:r>
      <w:r w:rsidR="00235A7F" w:rsidRPr="00235A7F">
        <w:rPr>
          <w:rFonts w:ascii="Calibri" w:eastAsia="Times New Roman" w:hAnsi="Calibri" w:cs="Calibri"/>
          <w:color w:val="000000"/>
          <w:kern w:val="0"/>
          <w14:ligatures w14:val="none"/>
        </w:rPr>
        <w:t xml:space="preserve"> </w:t>
      </w:r>
      <w:r w:rsidR="00235A7F">
        <w:rPr>
          <w:rFonts w:ascii="Calibri" w:eastAsia="Times New Roman" w:hAnsi="Calibri" w:cs="Calibri"/>
          <w:color w:val="000000"/>
          <w:kern w:val="0"/>
          <w14:ligatures w14:val="none"/>
        </w:rPr>
        <w:t>but</w:t>
      </w:r>
      <w:r w:rsidR="00235A7F">
        <w:rPr>
          <w:rFonts w:ascii="Calibri" w:eastAsia="Times New Roman" w:hAnsi="Calibri" w:cs="Calibri"/>
          <w:color w:val="000000"/>
          <w:kern w:val="0"/>
          <w14:ligatures w14:val="none"/>
        </w:rPr>
        <w:t xml:space="preserve"> since</w:t>
      </w:r>
      <w:r w:rsidR="00235A7F">
        <w:rPr>
          <w:rFonts w:ascii="Calibri" w:eastAsia="Times New Roman" w:hAnsi="Calibri" w:cs="Calibri"/>
          <w:color w:val="000000"/>
          <w:kern w:val="0"/>
          <w14:ligatures w14:val="none"/>
        </w:rPr>
        <w:t xml:space="preserve"> we could not find the results of said proceedings</w:t>
      </w:r>
      <w:r w:rsidR="00235A7F">
        <w:rPr>
          <w:rFonts w:ascii="Calibri" w:eastAsia="Times New Roman" w:hAnsi="Calibri" w:cs="Calibri"/>
          <w:color w:val="000000"/>
          <w:kern w:val="0"/>
          <w14:ligatures w14:val="none"/>
        </w:rPr>
        <w:t xml:space="preserve"> we did not change the ‘-‘ as the value for these observations for the Result of the Patent Validity variable</w:t>
      </w:r>
      <w:r w:rsidR="007104A8">
        <w:rPr>
          <w:rStyle w:val="FootnoteReference"/>
          <w:rFonts w:ascii="Calibri" w:eastAsia="Times New Roman" w:hAnsi="Calibri" w:cs="Calibri"/>
          <w:color w:val="000000"/>
          <w:kern w:val="0"/>
          <w14:ligatures w14:val="none"/>
        </w:rPr>
        <w:footnoteReference w:id="4"/>
      </w:r>
      <w:r w:rsidR="00235A7F">
        <w:rPr>
          <w:rFonts w:ascii="Calibri" w:eastAsia="Times New Roman" w:hAnsi="Calibri" w:cs="Calibri"/>
          <w:color w:val="000000"/>
          <w:kern w:val="0"/>
          <w14:ligatures w14:val="none"/>
        </w:rPr>
        <w:t>. There seems to be a tendency by the Federal Patent Court to only make public the documents of the proceedings that affected a patent</w:t>
      </w:r>
      <w:r w:rsidR="007104A8">
        <w:rPr>
          <w:rFonts w:ascii="Calibri" w:eastAsia="Times New Roman" w:hAnsi="Calibri" w:cs="Calibri"/>
          <w:color w:val="000000"/>
          <w:kern w:val="0"/>
          <w14:ligatures w14:val="none"/>
        </w:rPr>
        <w:t>’s</w:t>
      </w:r>
      <w:r w:rsidR="00235A7F">
        <w:rPr>
          <w:rFonts w:ascii="Calibri" w:eastAsia="Times New Roman" w:hAnsi="Calibri" w:cs="Calibri"/>
          <w:color w:val="000000"/>
          <w:kern w:val="0"/>
          <w14:ligatures w14:val="none"/>
        </w:rPr>
        <w:t xml:space="preserve"> validity, while not enabling for easy searches at their database of those that apparently were conducted against valid patents (or patents whose validity proceedings were abandoned before arriving to a decision).</w:t>
      </w:r>
    </w:p>
    <w:sectPr w:rsidR="0002759E" w:rsidRPr="00D84C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E4B17" w14:textId="77777777" w:rsidR="00B514EB" w:rsidRDefault="00B514EB" w:rsidP="004F0B70">
      <w:pPr>
        <w:spacing w:after="0" w:line="240" w:lineRule="auto"/>
      </w:pPr>
      <w:r>
        <w:separator/>
      </w:r>
    </w:p>
  </w:endnote>
  <w:endnote w:type="continuationSeparator" w:id="0">
    <w:p w14:paraId="1332519D" w14:textId="77777777" w:rsidR="00B514EB" w:rsidRDefault="00B514EB" w:rsidP="004F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EB824" w14:textId="77777777" w:rsidR="00B514EB" w:rsidRDefault="00B514EB" w:rsidP="004F0B70">
      <w:pPr>
        <w:spacing w:after="0" w:line="240" w:lineRule="auto"/>
      </w:pPr>
      <w:r>
        <w:separator/>
      </w:r>
    </w:p>
  </w:footnote>
  <w:footnote w:type="continuationSeparator" w:id="0">
    <w:p w14:paraId="44D62F81" w14:textId="77777777" w:rsidR="00B514EB" w:rsidRDefault="00B514EB" w:rsidP="004F0B70">
      <w:pPr>
        <w:spacing w:after="0" w:line="240" w:lineRule="auto"/>
      </w:pPr>
      <w:r>
        <w:continuationSeparator/>
      </w:r>
    </w:p>
  </w:footnote>
  <w:footnote w:id="1">
    <w:p w14:paraId="5A9E3454" w14:textId="47F93115" w:rsidR="004F0B70" w:rsidRDefault="004F0B70">
      <w:pPr>
        <w:pStyle w:val="FootnoteText"/>
      </w:pPr>
      <w:r>
        <w:rPr>
          <w:rStyle w:val="FootnoteReference"/>
        </w:rPr>
        <w:footnoteRef/>
      </w:r>
      <w:r>
        <w:t xml:space="preserve"> </w:t>
      </w:r>
      <w:hyperlink r:id="rId1" w:history="1">
        <w:r>
          <w:rPr>
            <w:rStyle w:val="Hyperlink"/>
          </w:rPr>
          <w:t>FRAND Datenbank (katheraugenstein.com)</w:t>
        </w:r>
      </w:hyperlink>
    </w:p>
  </w:footnote>
  <w:footnote w:id="2">
    <w:p w14:paraId="48A55F2B" w14:textId="57DFB7C1" w:rsidR="009E574A" w:rsidRDefault="009E574A">
      <w:pPr>
        <w:pStyle w:val="FootnoteText"/>
      </w:pPr>
      <w:r>
        <w:rPr>
          <w:rStyle w:val="FootnoteReference"/>
        </w:rPr>
        <w:footnoteRef/>
      </w:r>
      <w:r>
        <w:t xml:space="preserve"> The results that did not consider these 10 old or transition cases were: lag graphs, pools, worldwide and FRAND defense.</w:t>
      </w:r>
    </w:p>
  </w:footnote>
  <w:footnote w:id="3">
    <w:p w14:paraId="300374B3" w14:textId="57AF4F11" w:rsidR="00465A2F" w:rsidRDefault="00465A2F">
      <w:pPr>
        <w:pStyle w:val="FootnoteText"/>
      </w:pPr>
      <w:r>
        <w:rPr>
          <w:rStyle w:val="FootnoteReference"/>
        </w:rPr>
        <w:footnoteRef/>
      </w:r>
      <w:r>
        <w:t xml:space="preserve"> </w:t>
      </w:r>
      <w:r>
        <w:rPr>
          <w:rFonts w:ascii="Calibri" w:eastAsia="Times New Roman" w:hAnsi="Calibri" w:cs="Calibri"/>
          <w:color w:val="000000"/>
          <w:kern w:val="0"/>
          <w14:ligatures w14:val="none"/>
        </w:rPr>
        <w:t xml:space="preserve">Two of the resulting cases are highlighted because they were considered for our study, even though they were rather dissimilar: </w:t>
      </w:r>
      <w:r w:rsidRPr="00465A2F">
        <w:rPr>
          <w:rFonts w:ascii="Calibri" w:eastAsia="Times New Roman" w:hAnsi="Calibri" w:cs="Calibri"/>
          <w:color w:val="000000"/>
          <w:kern w:val="0"/>
          <w14:ligatures w14:val="none"/>
        </w:rPr>
        <w:t>in one case, the plaintiff is the implementer who sues against a customs order (and wins, because the court applies the same standards to the customs order that it would apply to injunctions)</w:t>
      </w:r>
      <w:r>
        <w:rPr>
          <w:rFonts w:ascii="Calibri" w:eastAsia="Times New Roman" w:hAnsi="Calibri" w:cs="Calibri"/>
          <w:color w:val="000000"/>
          <w:kern w:val="0"/>
          <w14:ligatures w14:val="none"/>
        </w:rPr>
        <w:t>;</w:t>
      </w:r>
      <w:r>
        <w:rPr>
          <w:rFonts w:ascii="Calibri" w:eastAsia="Times New Roman" w:hAnsi="Calibri" w:cs="Calibri"/>
          <w:color w:val="000000"/>
          <w:kern w:val="0"/>
          <w14:ligatures w14:val="none"/>
        </w:rPr>
        <w:t xml:space="preserve"> </w:t>
      </w:r>
      <w:r w:rsidRPr="00465A2F">
        <w:t>In the other case, a patent holder had initially requested an injunction, but the patent expired before the decision, so no injunction could be issued. The court nevertheless had to determine whether the request for injunction was justified (inter alia for the decision on costs); and it ruled that it was.</w:t>
      </w:r>
    </w:p>
  </w:footnote>
  <w:footnote w:id="4">
    <w:p w14:paraId="1B82381B" w14:textId="409446F3" w:rsidR="007104A8" w:rsidRDefault="007104A8">
      <w:pPr>
        <w:pStyle w:val="FootnoteText"/>
      </w:pPr>
      <w:r>
        <w:rPr>
          <w:rStyle w:val="FootnoteReference"/>
        </w:rPr>
        <w:footnoteRef/>
      </w:r>
      <w:r>
        <w:t xml:space="preserve"> The results we seemed to find at Espacenet on the decisions did not seem to match those from the official decision documents and the ones found at DartsIP (this applies for the initial 30 observations or 20 unique cases). That is why we decided not to use them when the other two sources were lacking.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6CCD"/>
    <w:multiLevelType w:val="hybridMultilevel"/>
    <w:tmpl w:val="6B4A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5582B"/>
    <w:multiLevelType w:val="hybridMultilevel"/>
    <w:tmpl w:val="8216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A4EB5"/>
    <w:multiLevelType w:val="hybridMultilevel"/>
    <w:tmpl w:val="65945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454270"/>
    <w:multiLevelType w:val="hybridMultilevel"/>
    <w:tmpl w:val="0B320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97622"/>
    <w:multiLevelType w:val="hybridMultilevel"/>
    <w:tmpl w:val="94F29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46D74"/>
    <w:multiLevelType w:val="hybridMultilevel"/>
    <w:tmpl w:val="B0BA6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A0599"/>
    <w:multiLevelType w:val="hybridMultilevel"/>
    <w:tmpl w:val="CBBA5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6542611">
    <w:abstractNumId w:val="5"/>
  </w:num>
  <w:num w:numId="2" w16cid:durableId="1800372039">
    <w:abstractNumId w:val="2"/>
  </w:num>
  <w:num w:numId="3" w16cid:durableId="1256130166">
    <w:abstractNumId w:val="1"/>
  </w:num>
  <w:num w:numId="4" w16cid:durableId="1869441431">
    <w:abstractNumId w:val="3"/>
  </w:num>
  <w:num w:numId="5" w16cid:durableId="803036547">
    <w:abstractNumId w:val="4"/>
  </w:num>
  <w:num w:numId="6" w16cid:durableId="538779276">
    <w:abstractNumId w:val="0"/>
  </w:num>
  <w:num w:numId="7" w16cid:durableId="316497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32"/>
    <w:rsid w:val="0002759E"/>
    <w:rsid w:val="001033F5"/>
    <w:rsid w:val="001A20C2"/>
    <w:rsid w:val="001B5042"/>
    <w:rsid w:val="001E331C"/>
    <w:rsid w:val="001F3613"/>
    <w:rsid w:val="002177DE"/>
    <w:rsid w:val="00235A7F"/>
    <w:rsid w:val="00237F8B"/>
    <w:rsid w:val="002C2FF4"/>
    <w:rsid w:val="002C384E"/>
    <w:rsid w:val="002C751B"/>
    <w:rsid w:val="002F5142"/>
    <w:rsid w:val="003A2D10"/>
    <w:rsid w:val="00427217"/>
    <w:rsid w:val="00445F56"/>
    <w:rsid w:val="00465A2F"/>
    <w:rsid w:val="004F0B70"/>
    <w:rsid w:val="00584AAE"/>
    <w:rsid w:val="005D3328"/>
    <w:rsid w:val="00635EF3"/>
    <w:rsid w:val="00681F16"/>
    <w:rsid w:val="007104A8"/>
    <w:rsid w:val="007558DB"/>
    <w:rsid w:val="007902E9"/>
    <w:rsid w:val="0086362A"/>
    <w:rsid w:val="009B2453"/>
    <w:rsid w:val="009C0CC0"/>
    <w:rsid w:val="009E574A"/>
    <w:rsid w:val="009F1241"/>
    <w:rsid w:val="00A43960"/>
    <w:rsid w:val="00B514EB"/>
    <w:rsid w:val="00B91FCA"/>
    <w:rsid w:val="00BA2B63"/>
    <w:rsid w:val="00C54E27"/>
    <w:rsid w:val="00CD7318"/>
    <w:rsid w:val="00D15C80"/>
    <w:rsid w:val="00D84C7D"/>
    <w:rsid w:val="00DA0076"/>
    <w:rsid w:val="00E42145"/>
    <w:rsid w:val="00ED0249"/>
    <w:rsid w:val="00F22A28"/>
    <w:rsid w:val="00F54CC1"/>
    <w:rsid w:val="00F82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7321"/>
  <w15:chartTrackingRefBased/>
  <w15:docId w15:val="{E530105C-8884-482B-BA7E-2739E68C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B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70"/>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4F0B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0B70"/>
    <w:rPr>
      <w:sz w:val="20"/>
      <w:szCs w:val="20"/>
    </w:rPr>
  </w:style>
  <w:style w:type="character" w:styleId="FootnoteReference">
    <w:name w:val="footnote reference"/>
    <w:basedOn w:val="DefaultParagraphFont"/>
    <w:uiPriority w:val="99"/>
    <w:semiHidden/>
    <w:unhideWhenUsed/>
    <w:rsid w:val="004F0B70"/>
    <w:rPr>
      <w:vertAlign w:val="superscript"/>
    </w:rPr>
  </w:style>
  <w:style w:type="character" w:styleId="Hyperlink">
    <w:name w:val="Hyperlink"/>
    <w:basedOn w:val="DefaultParagraphFont"/>
    <w:uiPriority w:val="99"/>
    <w:semiHidden/>
    <w:unhideWhenUsed/>
    <w:rsid w:val="004F0B70"/>
    <w:rPr>
      <w:color w:val="0000FF"/>
      <w:u w:val="single"/>
    </w:rPr>
  </w:style>
  <w:style w:type="paragraph" w:styleId="ListParagraph">
    <w:name w:val="List Paragraph"/>
    <w:basedOn w:val="Normal"/>
    <w:uiPriority w:val="34"/>
    <w:qFormat/>
    <w:rsid w:val="00A439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401">
      <w:bodyDiv w:val="1"/>
      <w:marLeft w:val="0"/>
      <w:marRight w:val="0"/>
      <w:marTop w:val="0"/>
      <w:marBottom w:val="0"/>
      <w:divBdr>
        <w:top w:val="none" w:sz="0" w:space="0" w:color="auto"/>
        <w:left w:val="none" w:sz="0" w:space="0" w:color="auto"/>
        <w:bottom w:val="none" w:sz="0" w:space="0" w:color="auto"/>
        <w:right w:val="none" w:sz="0" w:space="0" w:color="auto"/>
      </w:divBdr>
    </w:div>
    <w:div w:id="160826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katheraugenstein.com/aktuelles/frand-daten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D3E0D-9479-4CAC-94E6-35D26B065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3</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Marcelo Bergallo</dc:creator>
  <cp:keywords/>
  <dc:description/>
  <cp:lastModifiedBy>Santiago Marcelo Bergallo</cp:lastModifiedBy>
  <cp:revision>30</cp:revision>
  <dcterms:created xsi:type="dcterms:W3CDTF">2024-02-05T12:46:00Z</dcterms:created>
  <dcterms:modified xsi:type="dcterms:W3CDTF">2024-02-06T03:37:00Z</dcterms:modified>
</cp:coreProperties>
</file>