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>There are several slightly different reasons for using variables,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t>which</w:t>
      </w:r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 xml:space="preserve"> are all variations on the idea you suggested: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1. We don't know the value, and we want to find what it is.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 For example, we might want to solve the equation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   3x = 6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 xml:space="preserve"> find the height of a rectangle whose width is 3 units and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t>whose</w:t>
      </w:r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 xml:space="preserve"> area is 6 square units.  We are finding what value makes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t>that</w:t>
      </w:r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 xml:space="preserve"> equation true.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2. We don't YET know the value, and want to be able to make a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t>formula</w:t>
      </w:r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 xml:space="preserve"> so we can use the value when we get it.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 For example, we might be preparing to find the areas of a set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 xml:space="preserve"> different rectangles whose width is 3 units but whose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t>heights</w:t>
      </w:r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 xml:space="preserve"> will vary.  We can write the expression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   A = 3x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 xml:space="preserve"> remember how to find the area of each rectangle when we get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t>its</w:t>
      </w:r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 xml:space="preserve"> height.  This is how computers usually use variables; when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 xml:space="preserve"> enter a value for a variable, a program can calculate a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 xml:space="preserve"> using an expression like this.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3. We know the value, but want to do all the algebraic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t>manipulation</w:t>
      </w:r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 xml:space="preserve"> (such as simplifying an expression) without using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t>actual</w:t>
      </w:r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 xml:space="preserve"> numbers, to save work.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 For example, rather than calculate (</w:t>
      </w:r>
      <w:proofErr w:type="spellStart"/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4D591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>1.234))^2 -- that is,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 xml:space="preserve"> square of the square root of 1.234 -- I might first think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 xml:space="preserve"> it as (</w:t>
      </w:r>
      <w:proofErr w:type="spellStart"/>
      <w:r w:rsidRPr="004D5917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4D5917">
        <w:rPr>
          <w:rFonts w:ascii="Courier New" w:eastAsia="Times New Roman" w:hAnsi="Courier New" w:cs="Courier New"/>
          <w:sz w:val="20"/>
          <w:szCs w:val="20"/>
        </w:rPr>
        <w:t>(x))^2, replacing the known value with a variable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t>temporarily</w:t>
      </w:r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 xml:space="preserve"> so I can simplify the expression to "x", and not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t>have</w:t>
      </w:r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 xml:space="preserve"> to take a </w:t>
      </w:r>
      <w:bookmarkStart w:id="0" w:name="_GoBack"/>
      <w:r w:rsidRPr="004D5917">
        <w:rPr>
          <w:rFonts w:ascii="Courier New" w:eastAsia="Times New Roman" w:hAnsi="Courier New" w:cs="Courier New"/>
          <w:sz w:val="20"/>
          <w:szCs w:val="20"/>
        </w:rPr>
        <w:t>square root at all.  That's too simple an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t>example</w:t>
      </w:r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>, but this sort of thinking is useful in many big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t>problems</w:t>
      </w:r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>, where solving the problem in terms of variables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t>rather</w:t>
      </w:r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 xml:space="preserve"> than numbers can </w:t>
      </w:r>
      <w:bookmarkEnd w:id="0"/>
      <w:r w:rsidRPr="004D5917">
        <w:rPr>
          <w:rFonts w:ascii="Courier New" w:eastAsia="Times New Roman" w:hAnsi="Courier New" w:cs="Courier New"/>
          <w:sz w:val="20"/>
          <w:szCs w:val="20"/>
        </w:rPr>
        <w:t>save a huge amount of work and errors.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4. We want to prove that something is true regardless of the value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 xml:space="preserve"> the numbers involved.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 For example, we can show that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t>ab</w:t>
      </w:r>
      <w:proofErr w:type="spellEnd"/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D5917">
        <w:rPr>
          <w:rFonts w:ascii="Courier New" w:eastAsia="Times New Roman" w:hAnsi="Courier New" w:cs="Courier New"/>
          <w:sz w:val="20"/>
          <w:szCs w:val="20"/>
        </w:rPr>
        <w:t>ba</w:t>
      </w:r>
      <w:proofErr w:type="spellEnd"/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 xml:space="preserve"> all numbers a and b; we don't need to ever know what those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t>values</w:t>
      </w:r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 xml:space="preserve"> are in order to talk about this fact.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In summary, any time we want to talk about a number without having to 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t>know</w:t>
      </w:r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 xml:space="preserve"> its value at the moment, we can give it a name and talk about it 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 xml:space="preserve"> that name.  It's not much different from using your name rather 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t>than</w:t>
      </w:r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 xml:space="preserve"> a picture of you when you write about yourself; or using the 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t>pronoun</w:t>
      </w:r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 xml:space="preserve"> "she" or the noun "occupant" or "user" instead of your name 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 xml:space="preserve"> a document that might have been written with reference to anybody. 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It allows us to talk about things that are very hard to talk about in 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5917">
        <w:rPr>
          <w:rFonts w:ascii="Courier New" w:eastAsia="Times New Roman" w:hAnsi="Courier New" w:cs="Courier New"/>
          <w:sz w:val="20"/>
          <w:szCs w:val="20"/>
        </w:rPr>
        <w:lastRenderedPageBreak/>
        <w:t>any</w:t>
      </w:r>
      <w:proofErr w:type="gramEnd"/>
      <w:r w:rsidRPr="004D5917">
        <w:rPr>
          <w:rFonts w:ascii="Courier New" w:eastAsia="Times New Roman" w:hAnsi="Courier New" w:cs="Courier New"/>
          <w:sz w:val="20"/>
          <w:szCs w:val="20"/>
        </w:rPr>
        <w:t xml:space="preserve"> other way.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>Here are some places where we have explained the usefulness of variables: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Understanding Variables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</w:t>
      </w:r>
      <w:hyperlink r:id="rId4" w:history="1">
        <w:r w:rsidRPr="004D591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http://mathforum.org/library/drmath/view/57311.html</w:t>
        </w:r>
      </w:hyperlink>
      <w:r w:rsidRPr="004D591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Variables: Connecting Letters and Numbers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</w:t>
      </w:r>
      <w:hyperlink r:id="rId5" w:history="1">
        <w:r w:rsidRPr="004D591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http://mathforum.org/library/drmath/view/57312.html</w:t>
        </w:r>
      </w:hyperlink>
      <w:r w:rsidRPr="004D591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Why Use Letters in Math?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</w:t>
      </w:r>
      <w:hyperlink r:id="rId6" w:history="1">
        <w:r w:rsidRPr="004D591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http://mathforum.org/library/drmath/view/57020.html</w:t>
        </w:r>
      </w:hyperlink>
      <w:r w:rsidRPr="004D591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The Why of Algebra</w:t>
      </w:r>
    </w:p>
    <w:p w:rsidR="004D5917" w:rsidRPr="004D5917" w:rsidRDefault="004D5917" w:rsidP="004D5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5917">
        <w:rPr>
          <w:rFonts w:ascii="Courier New" w:eastAsia="Times New Roman" w:hAnsi="Courier New" w:cs="Courier New"/>
          <w:sz w:val="20"/>
          <w:szCs w:val="20"/>
        </w:rPr>
        <w:t xml:space="preserve">    </w:t>
      </w:r>
      <w:hyperlink r:id="rId7" w:history="1">
        <w:r w:rsidRPr="004D591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http://mathforum.org/library/drmath/view/57015.html</w:t>
        </w:r>
      </w:hyperlink>
    </w:p>
    <w:p w:rsidR="00387F79" w:rsidRDefault="004D5917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14"/>
    <w:rsid w:val="004D5917"/>
    <w:rsid w:val="00E715CB"/>
    <w:rsid w:val="00ED1A14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70608-ACC5-488C-9723-E5C36F7A3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9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D59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athforum.org/library/drmath/view/5701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thforum.org/library/drmath/view/57020.html" TargetMode="External"/><Relationship Id="rId5" Type="http://schemas.openxmlformats.org/officeDocument/2006/relationships/hyperlink" Target="http://mathforum.org/library/drmath/view/57312.html" TargetMode="External"/><Relationship Id="rId4" Type="http://schemas.openxmlformats.org/officeDocument/2006/relationships/hyperlink" Target="http://mathforum.org/library/drmath/view/5731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2016-08-03T17:44:00Z</dcterms:created>
  <dcterms:modified xsi:type="dcterms:W3CDTF">2016-08-03T17:46:00Z</dcterms:modified>
</cp:coreProperties>
</file>