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EIS analysis report</w:t>
      </w:r>
    </w:p>
    <w:p>
      <w:r>
        <w:t>Model: Randles (Rs + Rct‖Cdl)</w:t>
      </w:r>
    </w:p>
    <w:p>
      <w:r>
        <w:t>Data file: randles_Rs10_Rct100_C10uF.csv</w:t>
      </w:r>
    </w:p>
    <w:p>
      <w:r>
        <w:rPr>
          <w:color w:val="6E6E6E"/>
          <w:sz w:val="18"/>
        </w:rPr>
        <w:t>Generated on 2026-10-12 13:03</w:t>
      </w:r>
    </w:p>
    <w:p>
      <w:pPr>
        <w:pBdr>
          <w:bottom w:val="single" w:sz="6" w:space="1" w:color="B4B4B4"/>
        </w:pBdr>
      </w:pPr>
    </w:p>
    <w:p>
      <w:pPr>
        <w:pStyle w:val="Heading1"/>
      </w:pPr>
      <w:r>
        <w:t>1. Equivalent-circuit fit</w:t>
      </w:r>
    </w:p>
    <w:p>
      <w:r>
        <w:rPr>
          <w:color w:val="6E6E6E"/>
          <w:sz w:val="18"/>
        </w:rPr>
        <w:t>Electrical parameters of the chosen model, found by least-squares fitting. They describe the circuit, not yet the chemistry.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s</w:t>
      </w:r>
      <w:r>
        <w:rPr>
          <w:b/>
        </w:rPr>
        <w:t xml:space="preserve">:  </w:t>
      </w:r>
      <w:r>
        <w:t>10.01 Ω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c</w:t>
      </w:r>
      <w:r>
        <w:rPr>
          <w:b/>
        </w:rPr>
        <w:t xml:space="preserve">t:  </w:t>
      </w:r>
      <w:r>
        <w:t>99.94 Ω</w:t>
      </w:r>
    </w:p>
    <w:p>
      <w:pPr>
        <w:spacing w:after="40"/>
      </w:pPr>
      <w:r>
        <w:rPr>
          <w:b/>
        </w:rPr>
        <w:t>C</w:t>
      </w:r>
      <w:r>
        <w:rPr>
          <w:b/>
          <w:vertAlign w:val="subscript"/>
        </w:rPr>
        <w:t>d</w:t>
      </w:r>
      <w:r>
        <w:rPr>
          <w:b/>
        </w:rPr>
        <w:t xml:space="preserve">l:  </w:t>
      </w:r>
      <w:r>
        <w:t>9.994 × 10</w:t>
      </w:r>
      <w:r>
        <w:rPr>
          <w:vertAlign w:val="superscript"/>
        </w:rPr>
        <w:t>-6</w:t>
      </w:r>
      <w:r>
        <w:t xml:space="preserve"> F</w:t>
      </w:r>
    </w:p>
    <w:p>
      <w:pPr>
        <w:spacing w:after="40"/>
      </w:pPr>
      <w:r>
        <w:rPr>
          <w:b/>
        </w:rPr>
        <w:t xml:space="preserve">RMSE (complex):  </w:t>
      </w:r>
      <w:r>
        <w:t>0.1801 Ω</w:t>
      </w:r>
    </w:p>
    <w:p>
      <w:pPr>
        <w:spacing w:after="40"/>
      </w:pPr>
      <w:r>
        <w:rPr>
          <w:b/>
        </w:rPr>
        <w:t xml:space="preserve">χ² (σ = 1):  </w:t>
      </w:r>
      <w:r>
        <w:t>9.606</w:t>
      </w:r>
    </w:p>
    <w:p>
      <w:pPr>
        <w:pStyle w:val="Heading1"/>
      </w:pPr>
      <w:r>
        <w:t>2. Measured EIS features (no model)</w:t>
      </w:r>
    </w:p>
    <w:p>
      <w:r>
        <w:rPr>
          <w:color w:val="6E6E6E"/>
          <w:sz w:val="18"/>
        </w:rPr>
        <w:t>Read directly from the data. If the system behaves like a Randles circuit: R</w:t>
      </w:r>
      <w:r>
        <w:rPr>
          <w:color w:val="6E6E6E"/>
          <w:sz w:val="18"/>
          <w:vertAlign w:val="subscript"/>
        </w:rPr>
        <w:t>high</w:t>
      </w:r>
      <w:r>
        <w:rPr>
          <w:color w:val="6E6E6E"/>
          <w:sz w:val="18"/>
        </w:rPr>
        <w:t xml:space="preserve"> ≈ R</w:t>
      </w:r>
      <w:r>
        <w:rPr>
          <w:color w:val="6E6E6E"/>
          <w:sz w:val="18"/>
          <w:vertAlign w:val="subscript"/>
        </w:rPr>
        <w:t>s</w:t>
      </w:r>
      <w:r>
        <w:rPr>
          <w:color w:val="6E6E6E"/>
          <w:sz w:val="18"/>
        </w:rPr>
        <w:t>, R</w:t>
      </w:r>
      <w:r>
        <w:rPr>
          <w:color w:val="6E6E6E"/>
          <w:sz w:val="18"/>
          <w:vertAlign w:val="subscript"/>
        </w:rPr>
        <w:t>low</w:t>
      </w:r>
      <w:r>
        <w:rPr>
          <w:color w:val="6E6E6E"/>
          <w:sz w:val="18"/>
        </w:rPr>
        <w:t xml:space="preserve"> - R</w:t>
      </w:r>
      <w:r>
        <w:rPr>
          <w:color w:val="6E6E6E"/>
          <w:sz w:val="18"/>
          <w:vertAlign w:val="subscript"/>
        </w:rPr>
        <w:t>high</w:t>
      </w:r>
      <w:r>
        <w:rPr>
          <w:color w:val="6E6E6E"/>
          <w:sz w:val="18"/>
        </w:rPr>
        <w:t xml:space="preserve"> ≈ R</w:t>
      </w:r>
      <w:r>
        <w:rPr>
          <w:color w:val="6E6E6E"/>
          <w:sz w:val="18"/>
          <w:vertAlign w:val="subscript"/>
        </w:rPr>
        <w:t>ct</w:t>
      </w:r>
      <w:r>
        <w:rPr>
          <w:color w:val="6E6E6E"/>
          <w:sz w:val="18"/>
        </w:rPr>
        <w:t>, and f</w:t>
      </w:r>
      <w:r>
        <w:rPr>
          <w:color w:val="6E6E6E"/>
          <w:sz w:val="18"/>
          <w:vertAlign w:val="subscript"/>
        </w:rPr>
        <w:t>apex</w:t>
      </w:r>
      <w:r>
        <w:rPr>
          <w:color w:val="6E6E6E"/>
          <w:sz w:val="18"/>
        </w:rPr>
        <w:t xml:space="preserve"> is related to R</w:t>
      </w:r>
      <w:r>
        <w:rPr>
          <w:color w:val="6E6E6E"/>
          <w:sz w:val="18"/>
          <w:vertAlign w:val="subscript"/>
        </w:rPr>
        <w:t>ct</w:t>
      </w:r>
      <w:r>
        <w:rPr>
          <w:color w:val="6E6E6E"/>
          <w:sz w:val="18"/>
        </w:rPr>
        <w:t xml:space="preserve"> and C</w:t>
      </w:r>
      <w:r>
        <w:rPr>
          <w:color w:val="6E6E6E"/>
          <w:sz w:val="18"/>
          <w:vertAlign w:val="subscript"/>
        </w:rPr>
        <w:t>dl</w:t>
      </w:r>
      <w:r>
        <w:rPr>
          <w:color w:val="6E6E6E"/>
          <w:sz w:val="18"/>
        </w:rPr>
        <w:t xml:space="preserve"> as below.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high</w:t>
      </w:r>
      <w:r>
        <w:rPr>
          <w:b/>
        </w:rPr>
        <w:t xml:space="preserve">:  </w:t>
      </w:r>
      <w:r>
        <w:t>10.19 Ω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low</w:t>
      </w:r>
      <w:r>
        <w:rPr>
          <w:b/>
        </w:rPr>
        <w:t xml:space="preserve">:  </w:t>
      </w:r>
      <w:r>
        <w:t>110.1 Ω</w:t>
      </w:r>
    </w:p>
    <w:p>
      <w:pPr>
        <w:spacing w:after="40"/>
      </w:pPr>
      <w:r>
        <w:rPr>
          <w:b/>
        </w:rPr>
        <w:t>R</w:t>
      </w:r>
      <w:r>
        <w:rPr>
          <w:b/>
          <w:vertAlign w:val="subscript"/>
        </w:rPr>
        <w:t>low</w:t>
      </w:r>
      <w:r>
        <w:rPr>
          <w:b/>
        </w:rPr>
        <w:t xml:space="preserve"> - R</w:t>
      </w:r>
      <w:r>
        <w:rPr>
          <w:b/>
          <w:vertAlign w:val="subscript"/>
        </w:rPr>
        <w:t>high</w:t>
      </w:r>
      <w:r>
        <w:rPr>
          <w:b/>
        </w:rPr>
        <w:t xml:space="preserve">:  </w:t>
      </w:r>
      <w:r>
        <w:t>99.96 Ω</w:t>
      </w:r>
    </w:p>
    <w:p>
      <w:pPr>
        <w:spacing w:after="40"/>
      </w:pPr>
      <w:r>
        <w:rPr>
          <w:b/>
        </w:rPr>
        <w:t>f</w:t>
      </w:r>
      <w:r>
        <w:rPr>
          <w:b/>
          <w:vertAlign w:val="subscript"/>
        </w:rPr>
        <w:t>apex</w:t>
      </w:r>
      <w:r>
        <w:rPr>
          <w:b/>
        </w:rPr>
        <w:t xml:space="preserve">:  </w:t>
      </w:r>
      <w:r>
        <w:t>154.5 Hz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094232" cy="283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4232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color w:val="6E6E6E"/>
          <w:sz w:val="16"/>
        </w:rPr>
        <w:t>LaTeX:  f_{apex} = \frac{1}{2 \pi \, R_{ct} \, C_{dl}}</w:t>
      </w:r>
    </w:p>
    <w:p>
      <w:pPr>
        <w:pStyle w:val="Heading1"/>
      </w:pPr>
      <w:r>
        <w:t>3. Electrochemical interpretation</w:t>
      </w:r>
    </w:p>
    <w:p>
      <w:r>
        <w:rPr>
          <w:color w:val="6E6E6E"/>
          <w:sz w:val="18"/>
        </w:rPr>
        <w:t>Derived quantities. Each one is valid only under the assumptions listed with it.</w:t>
      </w:r>
    </w:p>
    <w:p>
      <w:pPr>
        <w:pStyle w:val="Heading2"/>
      </w:pPr>
      <w:r>
        <w:t>Inputs provided</w:t>
      </w:r>
    </w:p>
    <w:p>
      <w:pPr>
        <w:pStyle w:val="ListBullet"/>
      </w:pPr>
      <w:r>
        <w:rPr>
          <w:sz w:val="20"/>
        </w:rPr>
        <w:t>Temperature: 25 °C</w:t>
      </w:r>
    </w:p>
    <w:p>
      <w:pPr>
        <w:pStyle w:val="ListBullet"/>
      </w:pPr>
      <w:r>
        <w:rPr>
          <w:sz w:val="20"/>
        </w:rPr>
        <w:t>Electrode area: 1 cm²</w:t>
      </w:r>
    </w:p>
    <w:p>
      <w:pPr>
        <w:pStyle w:val="ListBullet"/>
      </w:pPr>
      <w:r>
        <w:rPr>
          <w:sz w:val="20"/>
        </w:rPr>
        <w:t>Number of electrons n: 1</w:t>
      </w:r>
    </w:p>
    <w:p>
      <w:pPr>
        <w:pStyle w:val="Heading2"/>
      </w:pPr>
      <w:r>
        <w:t>Shared assumptions</w:t>
      </w:r>
    </w:p>
    <w:p>
      <w:pPr>
        <w:pStyle w:val="ListBullet"/>
      </w:pPr>
      <w:r>
        <w:rPr>
          <w:sz w:val="20"/>
        </w:rPr>
        <w:t>A1: The fitted circuit is R</w:t>
      </w:r>
      <w:r>
        <w:rPr>
          <w:sz w:val="20"/>
          <w:vertAlign w:val="subscript"/>
        </w:rPr>
        <w:t>s</w:t>
      </w:r>
      <w:r>
        <w:rPr>
          <w:sz w:val="20"/>
        </w:rPr>
        <w:t xml:space="preserve"> + (R</w:t>
      </w:r>
      <w:r>
        <w:rPr>
          <w:sz w:val="20"/>
          <w:vertAlign w:val="subscript"/>
        </w:rPr>
        <w:t>ct</w:t>
      </w:r>
      <w:r>
        <w:rPr>
          <w:sz w:val="20"/>
        </w:rPr>
        <w:t xml:space="preserve"> / C</w:t>
      </w:r>
      <w:r>
        <w:rPr>
          <w:sz w:val="20"/>
          <w:vertAlign w:val="subscript"/>
        </w:rPr>
        <w:t>dl</w:t>
      </w:r>
      <w:r>
        <w:rPr>
          <w:sz w:val="20"/>
        </w:rPr>
        <w:t>): one semicircle, and C</w:t>
      </w:r>
      <w:r>
        <w:rPr>
          <w:sz w:val="20"/>
          <w:vertAlign w:val="subscript"/>
        </w:rPr>
        <w:t>dl</w:t>
      </w:r>
      <w:r>
        <w:rPr>
          <w:sz w:val="20"/>
        </w:rPr>
        <w:t xml:space="preserve"> is an ideal capacitor (no CPE / non-ideal behaviour).</w:t>
      </w:r>
    </w:p>
    <w:p>
      <w:pPr>
        <w:pStyle w:val="Heading2"/>
        <w:keepNext/>
      </w:pPr>
      <w:r>
        <w:t>Time constant τ</w:t>
      </w:r>
    </w:p>
    <w:p>
      <w:pPr>
        <w:keepNext/>
        <w:spacing w:after="40"/>
      </w:pPr>
      <w:r>
        <w:rPr>
          <w:b/>
        </w:rPr>
        <w:t xml:space="preserve">Value:  </w:t>
      </w:r>
      <w:r>
        <w:t>0.0009988 s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16864" cy="237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23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\tau = R_{ct} \, C_{dl}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Describes how fast the interface charges/discharges. It is a property of the fit, not yet a chemical statement.</w:t>
      </w:r>
    </w:p>
    <w:p>
      <w:pPr>
        <w:pStyle w:val="Heading2"/>
        <w:keepNext/>
      </w:pPr>
      <w:r>
        <w:t>Characteristic frequency f</w:t>
      </w:r>
      <w:r>
        <w:rPr>
          <w:vertAlign w:val="subscript"/>
        </w:rPr>
        <w:t>c</w:t>
      </w:r>
    </w:p>
    <w:p>
      <w:pPr>
        <w:keepNext/>
        <w:spacing w:after="40"/>
      </w:pPr>
      <w:r>
        <w:rPr>
          <w:b/>
        </w:rPr>
        <w:t xml:space="preserve">Value:  </w:t>
      </w:r>
      <w:r>
        <w:t>159.3 Hz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" cy="262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26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f_c = \frac{1}{2 \pi \tau}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Should match the apex frequency measured directly from the Nyquist plot (f</w:t>
      </w:r>
      <w:r>
        <w:rPr>
          <w:sz w:val="20"/>
          <w:vertAlign w:val="subscript"/>
        </w:rPr>
        <w:t>apex</w:t>
      </w:r>
      <w:r>
        <w:rPr>
          <w:sz w:val="20"/>
        </w:rPr>
        <w:t>); a large mismatch means the single-semicircle model does not describe the data well.</w:t>
      </w:r>
    </w:p>
    <w:p>
      <w:pPr>
        <w:pStyle w:val="Heading2"/>
        <w:keepNext/>
      </w:pPr>
      <w:r>
        <w:t>Specific double-layer capacitance</w:t>
      </w:r>
    </w:p>
    <w:p>
      <w:pPr>
        <w:keepNext/>
        <w:spacing w:after="40"/>
      </w:pPr>
      <w:r>
        <w:rPr>
          <w:b/>
        </w:rPr>
        <w:t xml:space="preserve">Value:  </w:t>
      </w:r>
      <w:r>
        <w:t>9.994 × 10</w:t>
      </w:r>
      <w:r>
        <w:rPr>
          <w:vertAlign w:val="superscript"/>
        </w:rPr>
        <w:t>-6</w:t>
      </w:r>
      <w:r>
        <w:t xml:space="preserve"> F/cm</w:t>
      </w:r>
      <w:r>
        <w:rPr>
          <w:vertAlign w:val="superscript"/>
        </w:rPr>
        <w:t>2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9432" cy="289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9432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C_{spec} = \frac{C_{dl}}{A}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Additional assumptions:</w:t>
      </w:r>
    </w:p>
    <w:p>
      <w:pPr>
        <w:pStyle w:val="ListBullet"/>
        <w:keepNext/>
      </w:pPr>
      <w:r>
        <w:rPr>
          <w:sz w:val="20"/>
        </w:rPr>
        <w:t>A is the true electroactive area, not just the geometric area.</w:t>
      </w:r>
    </w:p>
    <w:p>
      <w:pPr>
        <w:pStyle w:val="ListBullet"/>
      </w:pPr>
      <w:r>
        <w:rPr>
          <w:sz w:val="20"/>
        </w:rPr>
        <w:t>The fitted capacitance is really the double layer (not adsorption pseudocapacitance or a coating).</w:t>
      </w:r>
    </w:p>
    <w:p>
      <w:pPr>
        <w:pStyle w:val="Heading2"/>
        <w:keepNext/>
      </w:pPr>
      <w:r>
        <w:t>Exchange current density j</w:t>
      </w:r>
      <w:r>
        <w:rPr>
          <w:vertAlign w:val="subscript"/>
        </w:rPr>
        <w:t>0</w:t>
      </w:r>
    </w:p>
    <w:p>
      <w:pPr>
        <w:keepNext/>
        <w:spacing w:after="40"/>
      </w:pPr>
      <w:r>
        <w:rPr>
          <w:b/>
        </w:rPr>
        <w:t xml:space="preserve">Value:  </w:t>
      </w:r>
      <w:r>
        <w:t>0.0002571 A/cm</w:t>
      </w:r>
      <w:r>
        <w:rPr>
          <w:vertAlign w:val="superscript"/>
        </w:rPr>
        <w:t>2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1728" cy="289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8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Consolas" w:hAnsi="Consolas"/>
          <w:color w:val="6E6E6E"/>
          <w:sz w:val="16"/>
        </w:rPr>
        <w:t>LaTeX:  j_0 = \frac{R\,T}{n\,F\,R_{ct}\,A}</w:t>
      </w:r>
    </w:p>
    <w:p>
      <w:pPr>
        <w:keepNext/>
      </w:pPr>
      <w:r>
        <w:rPr>
          <w:color w:val="6E6E6E"/>
          <w:sz w:val="18"/>
        </w:rPr>
        <w:t>Relies on shared assumption(s): A1</w:t>
      </w:r>
    </w:p>
    <w:p>
      <w:pPr>
        <w:keepNext/>
      </w:pPr>
      <w:r>
        <w:rPr>
          <w:color w:val="6E6E6E"/>
          <w:sz w:val="18"/>
        </w:rPr>
        <w:t>Additional assumptions:</w:t>
      </w:r>
    </w:p>
    <w:p>
      <w:pPr>
        <w:pStyle w:val="ListBullet"/>
        <w:keepNext/>
      </w:pPr>
      <w:r>
        <w:rPr>
          <w:sz w:val="20"/>
        </w:rPr>
        <w:t>Measured at equilibrium (open-circuit) with both the oxidised and reduced species present, small AC amplitude (linearised Butler-Volmer).</w:t>
      </w:r>
    </w:p>
    <w:p>
      <w:pPr>
        <w:pStyle w:val="ListBullet"/>
        <w:keepNext/>
      </w:pPr>
      <w:r>
        <w:rPr>
          <w:sz w:val="20"/>
        </w:rPr>
        <w:t>R</w:t>
      </w:r>
      <w:r>
        <w:rPr>
          <w:sz w:val="20"/>
          <w:vertAlign w:val="subscript"/>
        </w:rPr>
        <w:t>ct</w:t>
      </w:r>
      <w:r>
        <w:rPr>
          <w:sz w:val="20"/>
        </w:rPr>
        <w:t xml:space="preserve"> is purely the charge-transfer resistance: no diffusion (Warburg) or film resistance mixed into it.</w:t>
      </w:r>
    </w:p>
    <w:p>
      <w:pPr>
        <w:pStyle w:val="ListBullet"/>
        <w:keepNext/>
      </w:pPr>
      <w:r>
        <w:rPr>
          <w:sz w:val="20"/>
        </w:rPr>
        <w:t>Single, simple electron-transfer reaction; n is the number of electrons of that reaction (ambiguous for multi-step mechanisms).</w:t>
      </w:r>
    </w:p>
    <w:p>
      <w:pPr>
        <w:pStyle w:val="ListBullet"/>
        <w:keepNext/>
      </w:pPr>
      <w:r>
        <w:rPr>
          <w:sz w:val="20"/>
        </w:rPr>
        <w:t>A is the true electroactive area.</w:t>
      </w:r>
    </w:p>
    <w:p>
      <w:pPr>
        <w:pStyle w:val="ListBullet"/>
        <w:keepNext/>
      </w:pPr>
      <w:r>
        <w:rPr>
          <w:sz w:val="20"/>
        </w:rPr>
        <w:t>T = 298.15 K.</w:t>
      </w:r>
    </w:p>
    <w:p>
      <w:pPr>
        <w:keepNext/>
      </w:pPr>
      <w:r>
        <w:rPr>
          <w:color w:val="6E6E6E"/>
          <w:sz w:val="18"/>
        </w:rPr>
        <w:t>Notes:</w:t>
      </w:r>
    </w:p>
    <w:p>
      <w:pPr>
        <w:pStyle w:val="ListBullet"/>
      </w:pPr>
      <w:r>
        <w:rPr>
          <w:sz w:val="20"/>
        </w:rPr>
        <w:t>If R</w:t>
      </w:r>
      <w:r>
        <w:rPr>
          <w:sz w:val="20"/>
          <w:vertAlign w:val="subscript"/>
        </w:rPr>
        <w:t>ct</w:t>
      </w:r>
      <w:r>
        <w:rPr>
          <w:sz w:val="20"/>
        </w:rPr>
        <w:t xml:space="preserve"> also contains other resistive contributions, j</w:t>
      </w:r>
      <w:r>
        <w:rPr>
          <w:sz w:val="20"/>
          <w:vertAlign w:val="subscript"/>
        </w:rPr>
        <w:t>0</w:t>
      </w:r>
      <w:r>
        <w:rPr>
          <w:sz w:val="20"/>
        </w:rPr>
        <w:t xml:space="preserve"> is underestimated.</w:t>
      </w:r>
    </w:p>
    <w:p>
      <w:pPr>
        <w:pStyle w:val="Heading2"/>
        <w:keepNext/>
      </w:pPr>
      <w:r>
        <w:t>Consistency check: fit vs data</w:t>
      </w:r>
    </w:p>
    <w:p>
      <w:pPr>
        <w:keepNext/>
        <w:spacing w:after="40"/>
      </w:pPr>
      <w:r>
        <w:rPr>
          <w:b/>
        </w:rPr>
        <w:t>f</w:t>
      </w:r>
      <w:r>
        <w:rPr>
          <w:b/>
          <w:vertAlign w:val="subscript"/>
        </w:rPr>
        <w:t>c</w:t>
      </w:r>
      <w:r>
        <w:rPr>
          <w:b/>
        </w:rPr>
        <w:t xml:space="preserve"> (fit):  </w:t>
      </w:r>
      <w:r>
        <w:t>159.3 Hz</w:t>
      </w:r>
    </w:p>
    <w:p>
      <w:pPr>
        <w:keepNext/>
        <w:spacing w:after="40"/>
      </w:pPr>
      <w:r>
        <w:rPr>
          <w:b/>
        </w:rPr>
        <w:t>f</w:t>
      </w:r>
      <w:r>
        <w:rPr>
          <w:b/>
          <w:vertAlign w:val="subscript"/>
        </w:rPr>
        <w:t>apex</w:t>
      </w:r>
      <w:r>
        <w:rPr>
          <w:b/>
        </w:rPr>
        <w:t xml:space="preserve"> (data):  </w:t>
      </w:r>
      <w:r>
        <w:t>154.5 Hz</w:t>
      </w:r>
    </w:p>
    <w:p>
      <w:pPr>
        <w:keepNext/>
        <w:spacing w:after="40"/>
      </w:pPr>
      <w:r>
        <w:rPr>
          <w:b/>
        </w:rPr>
        <w:t xml:space="preserve">Difference:  </w:t>
      </w:r>
      <w:r>
        <w:t>3.1 %</w:t>
      </w:r>
    </w:p>
    <w:p>
      <w:r>
        <w:t>The fit and the data agree on the time constant. This supports the single-semicircle model but does not prove it.</w:t>
      </w:r>
    </w:p>
    <w:p>
      <w:pPr>
        <w:pStyle w:val="Heading1"/>
      </w:pPr>
      <w:r>
        <w:t>4. Figures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21926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2192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62255" cy="3239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55" cy="32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Nyquist plot (data)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Bode plot (data)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16000" cy="224128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22412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62255" cy="3239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55" cy="32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Nyquist: data vs fitted model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color w:val="6E6E6E"/>
                <w:sz w:val="18"/>
              </w:rPr>
              <w:t>Bode: data vs fitted model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