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51A8F" w14:textId="77777777" w:rsidR="00182E09" w:rsidRDefault="00182E09" w:rsidP="00182E09">
      <w:pPr>
        <w:jc w:val="center"/>
        <w:rPr>
          <w:rFonts w:eastAsia="Times New Roman"/>
        </w:rPr>
      </w:pPr>
      <w:bookmarkStart w:id="0" w:name="_gjdgxs"/>
      <w:bookmarkEnd w:id="0"/>
      <w:r>
        <w:rPr>
          <w:rFonts w:eastAsia="Times New Roman"/>
          <w:b/>
          <w:smallCaps/>
          <w:szCs w:val="28"/>
        </w:rPr>
        <w:t>МИНОБРНАУКИ РОССИИ</w:t>
      </w:r>
    </w:p>
    <w:p w14:paraId="68988DBA" w14:textId="77777777" w:rsidR="00182E09" w:rsidRDefault="00182E09" w:rsidP="00182E09">
      <w:pPr>
        <w:jc w:val="center"/>
        <w:rPr>
          <w:rFonts w:eastAsia="Times New Roman"/>
        </w:rPr>
      </w:pPr>
      <w:r>
        <w:rPr>
          <w:rFonts w:eastAsia="Times New Roman"/>
          <w:b/>
          <w:smallCaps/>
          <w:szCs w:val="28"/>
        </w:rPr>
        <w:t>САНКТ-ПЕТЕРБУРГСКИЙ ГОСУДАРСТВЕННЫЙ</w:t>
      </w:r>
    </w:p>
    <w:p w14:paraId="3F821819" w14:textId="77777777" w:rsidR="00182E09" w:rsidRDefault="00182E09" w:rsidP="00182E09">
      <w:pPr>
        <w:jc w:val="center"/>
        <w:rPr>
          <w:rFonts w:eastAsia="Times New Roman"/>
        </w:rPr>
      </w:pPr>
      <w:r>
        <w:rPr>
          <w:rFonts w:eastAsia="Times New Roman"/>
          <w:b/>
          <w:smallCaps/>
          <w:szCs w:val="28"/>
        </w:rPr>
        <w:t>ЭЛЕКТРОТЕХНИЧЕСКИЙ УНИВЕРСИТЕТ</w:t>
      </w:r>
    </w:p>
    <w:p w14:paraId="7CE356C3" w14:textId="77777777" w:rsidR="00182E09" w:rsidRDefault="00182E09" w:rsidP="00182E09">
      <w:pPr>
        <w:jc w:val="center"/>
        <w:rPr>
          <w:rFonts w:eastAsia="Times New Roman"/>
        </w:rPr>
      </w:pPr>
      <w:r>
        <w:rPr>
          <w:rFonts w:eastAsia="Times New Roman"/>
          <w:b/>
          <w:smallCaps/>
          <w:szCs w:val="28"/>
        </w:rPr>
        <w:t>«ЛЭТИ» ИМ. В.И. УЛЬЯНОВА (ЛЕНИНА)</w:t>
      </w:r>
    </w:p>
    <w:p w14:paraId="38847552" w14:textId="77777777" w:rsidR="00182E09" w:rsidRDefault="00182E09" w:rsidP="00182E09">
      <w:pPr>
        <w:jc w:val="center"/>
        <w:rPr>
          <w:rFonts w:eastAsia="Times New Roman"/>
        </w:rPr>
      </w:pPr>
      <w:r>
        <w:rPr>
          <w:rFonts w:eastAsia="Times New Roman"/>
          <w:b/>
          <w:szCs w:val="28"/>
        </w:rPr>
        <w:t>Кафедра микро- и наноэлектроники</w:t>
      </w:r>
    </w:p>
    <w:p w14:paraId="4C9595A4" w14:textId="77777777" w:rsidR="00182E09" w:rsidRDefault="00182E09" w:rsidP="00182E09">
      <w:pPr>
        <w:jc w:val="center"/>
        <w:rPr>
          <w:rFonts w:eastAsia="Times New Roman"/>
        </w:rPr>
      </w:pPr>
    </w:p>
    <w:p w14:paraId="219AA007" w14:textId="77777777" w:rsidR="00182E09" w:rsidRDefault="00182E09" w:rsidP="00182E09">
      <w:pPr>
        <w:jc w:val="center"/>
        <w:rPr>
          <w:rFonts w:eastAsia="Times New Roman"/>
        </w:rPr>
      </w:pPr>
    </w:p>
    <w:p w14:paraId="43F9F227" w14:textId="77777777" w:rsidR="00182E09" w:rsidRDefault="00182E09" w:rsidP="00182E09">
      <w:pPr>
        <w:jc w:val="center"/>
        <w:rPr>
          <w:rFonts w:eastAsia="Times New Roman"/>
        </w:rPr>
      </w:pPr>
    </w:p>
    <w:p w14:paraId="66CB9230" w14:textId="77777777" w:rsidR="00182E09" w:rsidRDefault="00182E09" w:rsidP="00182E09">
      <w:pPr>
        <w:jc w:val="center"/>
        <w:rPr>
          <w:rFonts w:eastAsia="Times New Roman"/>
        </w:rPr>
      </w:pPr>
    </w:p>
    <w:p w14:paraId="2AB43B57" w14:textId="77777777" w:rsidR="00182E09" w:rsidRDefault="00182E09" w:rsidP="00182E09">
      <w:pPr>
        <w:jc w:val="center"/>
        <w:rPr>
          <w:rFonts w:eastAsia="Times New Roman"/>
        </w:rPr>
      </w:pPr>
    </w:p>
    <w:p w14:paraId="5F5554C4" w14:textId="77777777" w:rsidR="00182E09" w:rsidRDefault="00182E09" w:rsidP="00182E09">
      <w:pPr>
        <w:jc w:val="center"/>
        <w:rPr>
          <w:rFonts w:eastAsia="Times New Roman"/>
        </w:rPr>
      </w:pPr>
    </w:p>
    <w:p w14:paraId="67A1CD13" w14:textId="0906B17C" w:rsidR="00182E09" w:rsidRDefault="00182E09" w:rsidP="00182E09">
      <w:pPr>
        <w:pBdr>
          <w:top w:val="none" w:sz="4" w:space="0" w:color="000000"/>
          <w:left w:val="none" w:sz="4" w:space="0" w:color="000000"/>
          <w:bottom w:val="none" w:sz="4" w:space="0" w:color="000000"/>
          <w:right w:val="none" w:sz="4" w:space="0" w:color="000000"/>
          <w:between w:val="none" w:sz="4" w:space="0" w:color="000000"/>
        </w:pBdr>
        <w:tabs>
          <w:tab w:val="left" w:pos="709"/>
        </w:tabs>
        <w:jc w:val="center"/>
        <w:rPr>
          <w:rFonts w:eastAsia="Times New Roman"/>
          <w:color w:val="000000"/>
        </w:rPr>
      </w:pPr>
      <w:r>
        <w:rPr>
          <w:rFonts w:eastAsia="Times New Roman"/>
          <w:b/>
          <w:smallCaps/>
          <w:color w:val="000000"/>
          <w:szCs w:val="28"/>
        </w:rPr>
        <w:t>ОТЧЕТ ПО ЛАБОРАТОРНОЙ РАБОТЕ №</w:t>
      </w:r>
      <w:r>
        <w:rPr>
          <w:rFonts w:eastAsia="Times New Roman"/>
          <w:b/>
          <w:color w:val="000000"/>
          <w:szCs w:val="28"/>
        </w:rPr>
        <w:t>2</w:t>
      </w:r>
    </w:p>
    <w:p w14:paraId="454544FE" w14:textId="0E4BC869" w:rsidR="00182E09" w:rsidRDefault="00182E09" w:rsidP="00182E09">
      <w:pPr>
        <w:jc w:val="center"/>
        <w:rPr>
          <w:rFonts w:eastAsia="Times New Roman"/>
          <w:b/>
          <w:color w:val="000000"/>
          <w:szCs w:val="28"/>
        </w:rPr>
      </w:pPr>
      <w:r>
        <w:rPr>
          <w:rFonts w:eastAsia="Times New Roman"/>
          <w:b/>
          <w:szCs w:val="28"/>
        </w:rPr>
        <w:t xml:space="preserve">по дисциплине </w:t>
      </w:r>
      <w:r w:rsidRPr="003F4F8A">
        <w:rPr>
          <w:rFonts w:eastAsia="Times New Roman"/>
          <w:b/>
          <w:color w:val="000000"/>
          <w:szCs w:val="28"/>
        </w:rPr>
        <w:t xml:space="preserve">«Технология инкорпорированных и инкапсулированных микро- и </w:t>
      </w:r>
      <w:proofErr w:type="spellStart"/>
      <w:r w:rsidRPr="003F4F8A">
        <w:rPr>
          <w:rFonts w:eastAsia="Times New Roman"/>
          <w:b/>
          <w:color w:val="000000"/>
          <w:szCs w:val="28"/>
        </w:rPr>
        <w:t>наносистем</w:t>
      </w:r>
      <w:proofErr w:type="spellEnd"/>
      <w:r w:rsidRPr="003F4F8A">
        <w:rPr>
          <w:rFonts w:eastAsia="Times New Roman"/>
          <w:b/>
          <w:color w:val="000000"/>
          <w:szCs w:val="28"/>
        </w:rPr>
        <w:t>»</w:t>
      </w:r>
    </w:p>
    <w:p w14:paraId="627D74CA" w14:textId="17FBFE17" w:rsidR="00182E09" w:rsidRDefault="00182E09" w:rsidP="00182E09">
      <w:pPr>
        <w:jc w:val="center"/>
        <w:rPr>
          <w:rFonts w:eastAsia="Times New Roman"/>
        </w:rPr>
      </w:pPr>
      <w:r>
        <w:rPr>
          <w:rFonts w:eastAsia="Times New Roman"/>
          <w:b/>
          <w:color w:val="000000"/>
          <w:szCs w:val="28"/>
        </w:rPr>
        <w:t>Тема: «</w:t>
      </w:r>
      <w:r>
        <w:t>АНАЛИЗ УДЕЛЬНОЙ ПОВЕРХНОСТИ ПОРОШКОВЫХ И ПОРИСТЫХ НАНОМАТЕРИАЛОВ АДСОРБЦИОННЫМ МЕТОДОМ БЭТ»</w:t>
      </w:r>
    </w:p>
    <w:p w14:paraId="07C31AA6" w14:textId="77777777" w:rsidR="00182E09" w:rsidRDefault="00182E09" w:rsidP="00182E09">
      <w:pPr>
        <w:rPr>
          <w:rFonts w:eastAsia="Times New Roman"/>
        </w:rPr>
      </w:pPr>
    </w:p>
    <w:p w14:paraId="62E1FA2A" w14:textId="77777777" w:rsidR="00182E09" w:rsidRDefault="00182E09" w:rsidP="00182E09">
      <w:pPr>
        <w:rPr>
          <w:rFonts w:eastAsia="Times New Roman"/>
        </w:rPr>
      </w:pPr>
    </w:p>
    <w:p w14:paraId="12470F60" w14:textId="77777777" w:rsidR="00182E09" w:rsidRDefault="00182E09" w:rsidP="00182E09">
      <w:pPr>
        <w:rPr>
          <w:rFonts w:eastAsia="Times New Roman"/>
        </w:rPr>
      </w:pPr>
    </w:p>
    <w:p w14:paraId="4B25A1DA" w14:textId="77777777" w:rsidR="00182E09" w:rsidRDefault="00182E09" w:rsidP="00182E09">
      <w:pPr>
        <w:jc w:val="center"/>
        <w:rPr>
          <w:rFonts w:eastAsia="Times New Roman"/>
        </w:rPr>
      </w:pPr>
    </w:p>
    <w:tbl>
      <w:tblPr>
        <w:tblW w:w="9360" w:type="dxa"/>
        <w:tblLayout w:type="fixed"/>
        <w:tblLook w:val="0400" w:firstRow="0" w:lastRow="0" w:firstColumn="0" w:lastColumn="0" w:noHBand="0" w:noVBand="1"/>
      </w:tblPr>
      <w:tblGrid>
        <w:gridCol w:w="4129"/>
        <w:gridCol w:w="2479"/>
        <w:gridCol w:w="2752"/>
      </w:tblGrid>
      <w:tr w:rsidR="00182E09" w14:paraId="53EFC0D6" w14:textId="77777777" w:rsidTr="00DC176E">
        <w:trPr>
          <w:trHeight w:val="614"/>
        </w:trPr>
        <w:tc>
          <w:tcPr>
            <w:tcW w:w="4129" w:type="dxa"/>
            <w:vAlign w:val="bottom"/>
          </w:tcPr>
          <w:p w14:paraId="7DBF0913" w14:textId="77777777" w:rsidR="00182E09" w:rsidRDefault="00182E09" w:rsidP="00DC176E">
            <w:pPr>
              <w:rPr>
                <w:rFonts w:eastAsia="Times New Roman"/>
              </w:rPr>
            </w:pPr>
            <w:r>
              <w:rPr>
                <w:rFonts w:eastAsia="Times New Roman"/>
                <w:szCs w:val="28"/>
              </w:rPr>
              <w:t>Студент гр. 9286</w:t>
            </w:r>
          </w:p>
        </w:tc>
        <w:tc>
          <w:tcPr>
            <w:tcW w:w="2479" w:type="dxa"/>
            <w:tcBorders>
              <w:bottom w:val="single" w:sz="4" w:space="0" w:color="000000"/>
            </w:tcBorders>
            <w:vAlign w:val="bottom"/>
          </w:tcPr>
          <w:p w14:paraId="24CC18C9" w14:textId="77777777" w:rsidR="00182E09" w:rsidRDefault="00182E09" w:rsidP="00DC176E">
            <w:pPr>
              <w:rPr>
                <w:rFonts w:eastAsia="Times New Roman"/>
              </w:rPr>
            </w:pPr>
          </w:p>
        </w:tc>
        <w:tc>
          <w:tcPr>
            <w:tcW w:w="2752" w:type="dxa"/>
            <w:vAlign w:val="bottom"/>
          </w:tcPr>
          <w:p w14:paraId="44DFACAA" w14:textId="134EA56C" w:rsidR="00182E09" w:rsidRDefault="00A11FDE" w:rsidP="00DC176E">
            <w:pPr>
              <w:jc w:val="center"/>
              <w:rPr>
                <w:rFonts w:eastAsia="Times New Roman"/>
              </w:rPr>
            </w:pPr>
            <w:r>
              <w:rPr>
                <w:rFonts w:eastAsia="Times New Roman"/>
              </w:rPr>
              <w:t>Галякбаров Р. И.</w:t>
            </w:r>
          </w:p>
        </w:tc>
      </w:tr>
      <w:tr w:rsidR="00182E09" w14:paraId="217D9DEB" w14:textId="77777777" w:rsidTr="00DC176E">
        <w:trPr>
          <w:trHeight w:val="614"/>
        </w:trPr>
        <w:tc>
          <w:tcPr>
            <w:tcW w:w="4129" w:type="dxa"/>
            <w:vAlign w:val="bottom"/>
          </w:tcPr>
          <w:p w14:paraId="2FC5ABBB" w14:textId="77777777" w:rsidR="00182E09" w:rsidRDefault="00182E09" w:rsidP="00DC176E">
            <w:pPr>
              <w:rPr>
                <w:rFonts w:eastAsia="Times New Roman"/>
              </w:rPr>
            </w:pPr>
            <w:r>
              <w:rPr>
                <w:rFonts w:eastAsia="Times New Roman"/>
                <w:szCs w:val="28"/>
              </w:rPr>
              <w:t>Преподаватель</w:t>
            </w:r>
          </w:p>
        </w:tc>
        <w:tc>
          <w:tcPr>
            <w:tcW w:w="2479" w:type="dxa"/>
            <w:tcBorders>
              <w:top w:val="single" w:sz="4" w:space="0" w:color="000000"/>
              <w:bottom w:val="single" w:sz="4" w:space="0" w:color="000000"/>
            </w:tcBorders>
            <w:vAlign w:val="bottom"/>
          </w:tcPr>
          <w:p w14:paraId="4D5A048B" w14:textId="77777777" w:rsidR="00182E09" w:rsidRDefault="00182E09" w:rsidP="00DC176E">
            <w:pPr>
              <w:rPr>
                <w:rFonts w:eastAsia="Times New Roman"/>
              </w:rPr>
            </w:pPr>
          </w:p>
        </w:tc>
        <w:tc>
          <w:tcPr>
            <w:tcW w:w="2752" w:type="dxa"/>
            <w:vAlign w:val="bottom"/>
          </w:tcPr>
          <w:p w14:paraId="116D19A6" w14:textId="72C2B5AB" w:rsidR="00182E09" w:rsidRDefault="00182E09" w:rsidP="00DC176E">
            <w:pPr>
              <w:jc w:val="center"/>
              <w:rPr>
                <w:color w:val="000000" w:themeColor="text1"/>
                <w:szCs w:val="28"/>
              </w:rPr>
            </w:pPr>
            <w:proofErr w:type="spellStart"/>
            <w:r>
              <w:rPr>
                <w:rFonts w:eastAsia="Arial"/>
                <w:color w:val="000000" w:themeColor="text1"/>
                <w:szCs w:val="28"/>
              </w:rPr>
              <w:t>Спивак</w:t>
            </w:r>
            <w:proofErr w:type="spellEnd"/>
            <w:r>
              <w:rPr>
                <w:rFonts w:eastAsia="Arial"/>
                <w:color w:val="000000" w:themeColor="text1"/>
                <w:szCs w:val="28"/>
              </w:rPr>
              <w:t xml:space="preserve"> Ю.</w:t>
            </w:r>
            <w:r w:rsidR="00A11FDE">
              <w:rPr>
                <w:rFonts w:eastAsia="Arial"/>
                <w:color w:val="000000" w:themeColor="text1"/>
                <w:szCs w:val="28"/>
              </w:rPr>
              <w:t xml:space="preserve"> </w:t>
            </w:r>
            <w:r>
              <w:rPr>
                <w:rFonts w:eastAsia="Arial"/>
                <w:color w:val="000000" w:themeColor="text1"/>
                <w:szCs w:val="28"/>
              </w:rPr>
              <w:t>М.</w:t>
            </w:r>
          </w:p>
        </w:tc>
      </w:tr>
    </w:tbl>
    <w:p w14:paraId="6B200514" w14:textId="77777777" w:rsidR="00182E09" w:rsidRDefault="00182E09" w:rsidP="00182E09">
      <w:pPr>
        <w:rPr>
          <w:rFonts w:eastAsia="Times New Roman"/>
        </w:rPr>
      </w:pPr>
    </w:p>
    <w:p w14:paraId="466FBFC2" w14:textId="77777777" w:rsidR="00182E09" w:rsidRDefault="00182E09" w:rsidP="00182E09">
      <w:pPr>
        <w:rPr>
          <w:rFonts w:eastAsia="Times New Roman"/>
        </w:rPr>
      </w:pPr>
    </w:p>
    <w:p w14:paraId="481C5A1B" w14:textId="77777777" w:rsidR="00182E09" w:rsidRDefault="00182E09" w:rsidP="00182E09">
      <w:pPr>
        <w:jc w:val="center"/>
        <w:rPr>
          <w:rFonts w:eastAsia="Times New Roman"/>
        </w:rPr>
      </w:pPr>
      <w:r>
        <w:rPr>
          <w:rFonts w:eastAsia="Times New Roman"/>
          <w:szCs w:val="28"/>
        </w:rPr>
        <w:t>Санкт-Петербург</w:t>
      </w:r>
    </w:p>
    <w:p w14:paraId="02B9957B" w14:textId="2717F75F" w:rsidR="00182E09" w:rsidRDefault="00182E09" w:rsidP="00182E09">
      <w:pPr>
        <w:jc w:val="center"/>
        <w:rPr>
          <w:rFonts w:eastAsia="Times New Roman"/>
          <w:szCs w:val="28"/>
        </w:rPr>
      </w:pPr>
      <w:r>
        <w:rPr>
          <w:rFonts w:eastAsia="Times New Roman"/>
          <w:szCs w:val="28"/>
        </w:rPr>
        <w:t>2024</w:t>
      </w:r>
    </w:p>
    <w:p w14:paraId="77FBEC4B" w14:textId="77777777" w:rsidR="003F4F8A" w:rsidRDefault="003F4F8A" w:rsidP="003F4F8A">
      <w:pPr>
        <w:pStyle w:val="Times142"/>
        <w:rPr>
          <w:szCs w:val="28"/>
        </w:rPr>
      </w:pPr>
      <w:r w:rsidRPr="005467A4">
        <w:rPr>
          <w:b/>
          <w:iCs/>
          <w:szCs w:val="28"/>
        </w:rPr>
        <w:lastRenderedPageBreak/>
        <w:t>Цель работы</w:t>
      </w:r>
    </w:p>
    <w:p w14:paraId="16A50152" w14:textId="77777777" w:rsidR="003F4F8A" w:rsidRDefault="003F4F8A" w:rsidP="003F4F8A">
      <w:pPr>
        <w:pStyle w:val="Times142"/>
        <w:rPr>
          <w:b/>
        </w:rPr>
      </w:pPr>
      <w:r>
        <w:rPr>
          <w:szCs w:val="28"/>
        </w:rPr>
        <w:t xml:space="preserve">Ознакомиться с основными физическими принципами измерения удельной поверхности пористых материалов адсорбционными методами на примере прибора серии </w:t>
      </w:r>
      <w:proofErr w:type="spellStart"/>
      <w:r>
        <w:rPr>
          <w:szCs w:val="28"/>
        </w:rPr>
        <w:t>Сорби</w:t>
      </w:r>
      <w:proofErr w:type="spellEnd"/>
      <w:r>
        <w:rPr>
          <w:szCs w:val="28"/>
        </w:rPr>
        <w:t>.</w:t>
      </w:r>
    </w:p>
    <w:p w14:paraId="2FF41F5D" w14:textId="3600647B" w:rsidR="003F4F8A" w:rsidRDefault="003F4F8A" w:rsidP="003F4F8A">
      <w:pPr>
        <w:pStyle w:val="Times142"/>
        <w:rPr>
          <w:b/>
        </w:rPr>
      </w:pPr>
      <w:r w:rsidRPr="005467A4">
        <w:rPr>
          <w:b/>
        </w:rPr>
        <w:t>Теоретические сведения</w:t>
      </w:r>
    </w:p>
    <w:p w14:paraId="3A0242B2" w14:textId="77777777" w:rsidR="003F4F8A" w:rsidRDefault="003F4F8A" w:rsidP="003F4F8A">
      <w:pPr>
        <w:pStyle w:val="Times142"/>
      </w:pPr>
      <w:r>
        <w:t>Адсорбция – процесс самопроизвольного увеличения концентрации вещества на границе раздела фаз (с выделением тепла).</w:t>
      </w:r>
    </w:p>
    <w:p w14:paraId="442E3DF5" w14:textId="58A46F1D" w:rsidR="003F4F8A" w:rsidRDefault="003F4F8A" w:rsidP="003F4F8A">
      <w:pPr>
        <w:pStyle w:val="Times142"/>
      </w:pPr>
      <w:r>
        <w:t xml:space="preserve">Адсорбент – на ком происходит адсорбция (хозяин), адсорбат </w:t>
      </w:r>
      <m:oMath>
        <m:r>
          <w:rPr>
            <w:rFonts w:ascii="Cambria Math" w:hAnsi="Cambria Math"/>
          </w:rPr>
          <m:t>-</m:t>
        </m:r>
      </m:oMath>
      <w:r>
        <w:t xml:space="preserve"> уже адсорбированное вещество, находящееся на поверхности или в объеме пор, адсорбтив – способен адсорбироваться, но еще не адсорбирован</w:t>
      </w:r>
    </w:p>
    <w:p w14:paraId="0660FF95" w14:textId="63B94FD0" w:rsidR="003F4F8A" w:rsidRDefault="003F4F8A" w:rsidP="003F4F8A">
      <w:pPr>
        <w:pStyle w:val="Times142"/>
      </w:pPr>
      <w:r>
        <w:t>Хемосорбция – химическая реакция между адсорбатом и поверхностными атомами или группы адсорбента, при котором молекула адсорбата отдает или получает электрон (</w:t>
      </w:r>
      <w:proofErr w:type="spellStart"/>
      <w:r>
        <w:t>гомолитические</w:t>
      </w:r>
      <w:proofErr w:type="spellEnd"/>
      <w:r>
        <w:t xml:space="preserve"> реакции) или электронные пары (</w:t>
      </w:r>
      <w:proofErr w:type="spellStart"/>
      <w:r>
        <w:t>гетеролитические</w:t>
      </w:r>
      <w:proofErr w:type="spellEnd"/>
      <w:r>
        <w:t xml:space="preserve">). </w:t>
      </w:r>
      <w:proofErr w:type="spellStart"/>
      <w:r>
        <w:t>Физадсорбция</w:t>
      </w:r>
      <w:proofErr w:type="spellEnd"/>
      <w:r>
        <w:t xml:space="preserve"> – адсорбция только за счет сил межмолекулярного взаимодействия без переноса электрона (как правило обратима).</w:t>
      </w:r>
    </w:p>
    <w:p w14:paraId="5737C06B" w14:textId="6E8C8AC0" w:rsidR="003F4F8A" w:rsidRDefault="00E46401" w:rsidP="003F4F8A">
      <w:pPr>
        <w:pStyle w:val="Times142"/>
      </w:pPr>
      <w:r>
        <w:t xml:space="preserve">1). </w:t>
      </w:r>
      <w:r w:rsidR="003F4F8A">
        <w:t>Изотерма адсорбции Генри:</w:t>
      </w:r>
    </w:p>
    <w:p w14:paraId="60FD9183" w14:textId="5471A3CD" w:rsidR="003F4F8A" w:rsidRDefault="00E46401" w:rsidP="00E46401">
      <w:pPr>
        <w:pStyle w:val="Times142"/>
        <w:jc w:val="center"/>
      </w:pPr>
      <w:r w:rsidRPr="006938D2">
        <w:rPr>
          <w:noProof/>
        </w:rPr>
        <w:drawing>
          <wp:inline distT="0" distB="0" distL="0" distR="0" wp14:anchorId="26A5D2FB" wp14:editId="4CA10EAE">
            <wp:extent cx="1771646" cy="295275"/>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778973" cy="296496"/>
                    </a:xfrm>
                    <a:prstGeom prst="rect">
                      <a:avLst/>
                    </a:prstGeom>
                  </pic:spPr>
                </pic:pic>
              </a:graphicData>
            </a:graphic>
          </wp:inline>
        </w:drawing>
      </w:r>
    </w:p>
    <w:p w14:paraId="416F4322" w14:textId="77777777" w:rsidR="003F4F8A" w:rsidRDefault="003F4F8A" w:rsidP="003F4F8A">
      <w:pPr>
        <w:pStyle w:val="Times142"/>
        <w:keepNext/>
        <w:jc w:val="center"/>
      </w:pPr>
      <w:r>
        <w:rPr>
          <w:noProof/>
        </w:rPr>
        <w:drawing>
          <wp:inline distT="0" distB="0" distL="0" distR="0" wp14:anchorId="1EA36E97" wp14:editId="5BCEEEE1">
            <wp:extent cx="3724275" cy="1619250"/>
            <wp:effectExtent l="0" t="0" r="9525" b="0"/>
            <wp:docPr id="1" name="Рисунок 1"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rotWithShape="1">
                    <a:blip r:embed="rId7">
                      <a:extLst>
                        <a:ext uri="{28A0092B-C50C-407E-A947-70E740481C1C}">
                          <a14:useLocalDpi xmlns:a14="http://schemas.microsoft.com/office/drawing/2010/main" val="0"/>
                        </a:ext>
                      </a:extLst>
                    </a:blip>
                    <a:srcRect r="15914" b="32807"/>
                    <a:stretch/>
                  </pic:blipFill>
                  <pic:spPr bwMode="auto">
                    <a:xfrm>
                      <a:off x="0" y="0"/>
                      <a:ext cx="3724275" cy="1619250"/>
                    </a:xfrm>
                    <a:prstGeom prst="rect">
                      <a:avLst/>
                    </a:prstGeom>
                    <a:noFill/>
                    <a:ln>
                      <a:noFill/>
                    </a:ln>
                    <a:extLst>
                      <a:ext uri="{53640926-AAD7-44D8-BBD7-CCE9431645EC}">
                        <a14:shadowObscured xmlns:a14="http://schemas.microsoft.com/office/drawing/2010/main"/>
                      </a:ext>
                    </a:extLst>
                  </pic:spPr>
                </pic:pic>
              </a:graphicData>
            </a:graphic>
          </wp:inline>
        </w:drawing>
      </w:r>
    </w:p>
    <w:p w14:paraId="6FAB1FA6" w14:textId="6C26C7C4" w:rsidR="003F4F8A" w:rsidRDefault="003F4F8A" w:rsidP="003F4F8A">
      <w:pPr>
        <w:pStyle w:val="Times142"/>
        <w:jc w:val="center"/>
      </w:pPr>
      <w:r>
        <w:t xml:space="preserve">Рисунок </w:t>
      </w:r>
      <w:r w:rsidR="007F5AB2">
        <w:fldChar w:fldCharType="begin"/>
      </w:r>
      <w:r w:rsidR="007F5AB2">
        <w:instrText xml:space="preserve"> SEQ Рисунок \* ARABIC </w:instrText>
      </w:r>
      <w:r w:rsidR="007F5AB2">
        <w:fldChar w:fldCharType="separate"/>
      </w:r>
      <w:r w:rsidR="002B6F2B">
        <w:rPr>
          <w:noProof/>
        </w:rPr>
        <w:t>1</w:t>
      </w:r>
      <w:r w:rsidR="007F5AB2">
        <w:rPr>
          <w:noProof/>
        </w:rPr>
        <w:fldChar w:fldCharType="end"/>
      </w:r>
      <w:r>
        <w:t>. Изотермы адсорбции</w:t>
      </w:r>
      <w:r w:rsidR="00E46401">
        <w:t xml:space="preserve"> (1- Генри, 2- </w:t>
      </w:r>
      <w:proofErr w:type="spellStart"/>
      <w:r w:rsidR="00E46401">
        <w:t>Ленгмюра</w:t>
      </w:r>
      <w:proofErr w:type="spellEnd"/>
      <w:r w:rsidR="00E46401">
        <w:t>, 3- БЭТ)</w:t>
      </w:r>
    </w:p>
    <w:p w14:paraId="3AA4203D" w14:textId="49C893DD" w:rsidR="00E46401" w:rsidRDefault="00E46401" w:rsidP="00E46401">
      <w:pPr>
        <w:pStyle w:val="Times142"/>
        <w:ind w:firstLine="0"/>
        <w:rPr>
          <w:szCs w:val="28"/>
        </w:rPr>
      </w:pPr>
      <w:r>
        <w:rPr>
          <w:szCs w:val="28"/>
        </w:rPr>
        <w:tab/>
      </w:r>
      <w:r w:rsidRPr="006938D2">
        <w:rPr>
          <w:szCs w:val="28"/>
        </w:rPr>
        <w:t>Где n=N</w:t>
      </w:r>
      <w:r w:rsidRPr="006938D2">
        <w:rPr>
          <w:szCs w:val="28"/>
          <w:vertAlign w:val="subscript"/>
        </w:rPr>
        <w:t>A</w:t>
      </w:r>
      <w:r w:rsidRPr="006938D2">
        <w:rPr>
          <w:szCs w:val="28"/>
        </w:rPr>
        <w:t>P/(2πMRT)</w:t>
      </w:r>
      <w:r>
        <w:rPr>
          <w:szCs w:val="28"/>
          <w:vertAlign w:val="superscript"/>
        </w:rPr>
        <w:t>1/2</w:t>
      </w:r>
      <w:r>
        <w:rPr>
          <w:szCs w:val="28"/>
        </w:rPr>
        <w:t xml:space="preserve"> </w:t>
      </w:r>
      <w:r w:rsidRPr="006938D2">
        <w:rPr>
          <w:szCs w:val="28"/>
        </w:rPr>
        <w:t>число</w:t>
      </w:r>
      <w:r>
        <w:rPr>
          <w:szCs w:val="28"/>
        </w:rPr>
        <w:t xml:space="preserve"> </w:t>
      </w:r>
      <w:r w:rsidRPr="006938D2">
        <w:rPr>
          <w:szCs w:val="28"/>
        </w:rPr>
        <w:t>молекул,</w:t>
      </w:r>
      <w:r>
        <w:rPr>
          <w:szCs w:val="28"/>
        </w:rPr>
        <w:t xml:space="preserve"> </w:t>
      </w:r>
      <w:r w:rsidRPr="006938D2">
        <w:rPr>
          <w:szCs w:val="28"/>
        </w:rPr>
        <w:t>ударяющихся</w:t>
      </w:r>
      <w:r>
        <w:rPr>
          <w:szCs w:val="28"/>
        </w:rPr>
        <w:t xml:space="preserve"> </w:t>
      </w:r>
      <w:r w:rsidRPr="006938D2">
        <w:rPr>
          <w:szCs w:val="28"/>
        </w:rPr>
        <w:t>о</w:t>
      </w:r>
      <w:r>
        <w:rPr>
          <w:szCs w:val="28"/>
        </w:rPr>
        <w:t xml:space="preserve"> </w:t>
      </w:r>
      <w:r w:rsidRPr="006938D2">
        <w:rPr>
          <w:szCs w:val="28"/>
        </w:rPr>
        <w:t>единицу</w:t>
      </w:r>
      <w:r>
        <w:rPr>
          <w:szCs w:val="28"/>
        </w:rPr>
        <w:t xml:space="preserve"> </w:t>
      </w:r>
      <w:r w:rsidRPr="006938D2">
        <w:rPr>
          <w:szCs w:val="28"/>
        </w:rPr>
        <w:t>поверхности</w:t>
      </w:r>
      <w:r>
        <w:rPr>
          <w:szCs w:val="28"/>
        </w:rPr>
        <w:t xml:space="preserve"> </w:t>
      </w:r>
      <w:r w:rsidRPr="006938D2">
        <w:rPr>
          <w:szCs w:val="28"/>
        </w:rPr>
        <w:t>за</w:t>
      </w:r>
      <w:r>
        <w:rPr>
          <w:szCs w:val="28"/>
        </w:rPr>
        <w:t xml:space="preserve"> </w:t>
      </w:r>
      <w:r w:rsidRPr="006938D2">
        <w:rPr>
          <w:szCs w:val="28"/>
        </w:rPr>
        <w:t>единицу</w:t>
      </w:r>
      <w:r>
        <w:rPr>
          <w:szCs w:val="28"/>
        </w:rPr>
        <w:t xml:space="preserve"> </w:t>
      </w:r>
      <w:r w:rsidRPr="006938D2">
        <w:rPr>
          <w:szCs w:val="28"/>
        </w:rPr>
        <w:t>времени,</w:t>
      </w:r>
      <w:r>
        <w:rPr>
          <w:szCs w:val="28"/>
        </w:rPr>
        <w:t xml:space="preserve"> </w:t>
      </w:r>
      <w:r w:rsidRPr="006938D2">
        <w:rPr>
          <w:szCs w:val="28"/>
        </w:rPr>
        <w:t>χ–коэффициент</w:t>
      </w:r>
      <w:r>
        <w:rPr>
          <w:szCs w:val="28"/>
        </w:rPr>
        <w:t xml:space="preserve"> </w:t>
      </w:r>
      <w:r w:rsidRPr="006938D2">
        <w:rPr>
          <w:szCs w:val="28"/>
        </w:rPr>
        <w:t>прилипания</w:t>
      </w:r>
      <w:r>
        <w:rPr>
          <w:szCs w:val="28"/>
        </w:rPr>
        <w:t xml:space="preserve"> </w:t>
      </w:r>
      <w:r w:rsidRPr="006938D2">
        <w:rPr>
          <w:szCs w:val="28"/>
        </w:rPr>
        <w:t>(относительная</w:t>
      </w:r>
      <w:r>
        <w:rPr>
          <w:szCs w:val="28"/>
        </w:rPr>
        <w:t xml:space="preserve"> </w:t>
      </w:r>
      <w:r w:rsidRPr="006938D2">
        <w:rPr>
          <w:szCs w:val="28"/>
        </w:rPr>
        <w:t>доля</w:t>
      </w:r>
      <w:r>
        <w:rPr>
          <w:szCs w:val="28"/>
        </w:rPr>
        <w:t xml:space="preserve"> </w:t>
      </w:r>
      <w:r w:rsidRPr="006938D2">
        <w:rPr>
          <w:szCs w:val="28"/>
        </w:rPr>
        <w:t>задерживающихся</w:t>
      </w:r>
      <w:r>
        <w:rPr>
          <w:szCs w:val="28"/>
        </w:rPr>
        <w:t xml:space="preserve"> </w:t>
      </w:r>
      <w:r w:rsidRPr="006938D2">
        <w:rPr>
          <w:szCs w:val="28"/>
        </w:rPr>
        <w:t>(“прилипших”)</w:t>
      </w:r>
      <w:r>
        <w:rPr>
          <w:szCs w:val="28"/>
        </w:rPr>
        <w:t xml:space="preserve"> </w:t>
      </w:r>
      <w:r w:rsidRPr="006938D2">
        <w:rPr>
          <w:szCs w:val="28"/>
        </w:rPr>
        <w:t>молекул</w:t>
      </w:r>
      <w:r>
        <w:rPr>
          <w:szCs w:val="28"/>
        </w:rPr>
        <w:t xml:space="preserve"> </w:t>
      </w:r>
      <w:r w:rsidRPr="006938D2">
        <w:rPr>
          <w:szCs w:val="28"/>
        </w:rPr>
        <w:t>на</w:t>
      </w:r>
      <w:r>
        <w:rPr>
          <w:szCs w:val="28"/>
        </w:rPr>
        <w:t xml:space="preserve"> поверхности).</w:t>
      </w:r>
    </w:p>
    <w:p w14:paraId="481B9BEC" w14:textId="7FED0565" w:rsidR="003F4F8A" w:rsidRDefault="00E46401" w:rsidP="00E46401">
      <w:pPr>
        <w:pStyle w:val="Times142"/>
        <w:rPr>
          <w:szCs w:val="28"/>
        </w:rPr>
      </w:pPr>
      <w:r>
        <w:rPr>
          <w:szCs w:val="28"/>
        </w:rPr>
        <w:lastRenderedPageBreak/>
        <w:t>Это уравнение применимо при минимальных заполнениях поверхности и малых давлениях, когда газ можно рассматривать как идеальный, а число его соударений с поверхностью пропорционально Р.</w:t>
      </w:r>
    </w:p>
    <w:p w14:paraId="35D13268" w14:textId="59877578" w:rsidR="00E46401" w:rsidRDefault="00E46401" w:rsidP="00E46401">
      <w:pPr>
        <w:pStyle w:val="Times142"/>
        <w:rPr>
          <w:szCs w:val="28"/>
        </w:rPr>
      </w:pPr>
      <w:r>
        <w:rPr>
          <w:szCs w:val="28"/>
        </w:rPr>
        <w:t xml:space="preserve">2). Изотерма адсорбции </w:t>
      </w:r>
      <w:proofErr w:type="spellStart"/>
      <w:r>
        <w:rPr>
          <w:szCs w:val="28"/>
        </w:rPr>
        <w:t>Ленгмюра</w:t>
      </w:r>
      <w:proofErr w:type="spellEnd"/>
      <w:r>
        <w:rPr>
          <w:szCs w:val="28"/>
        </w:rPr>
        <w:t xml:space="preserve"> </w:t>
      </w:r>
    </w:p>
    <w:p w14:paraId="35879068" w14:textId="7384E5C6" w:rsidR="00E46401" w:rsidRDefault="00E46401" w:rsidP="00E46401">
      <w:pPr>
        <w:pStyle w:val="Times142"/>
        <w:ind w:firstLine="0"/>
        <w:rPr>
          <w:szCs w:val="28"/>
        </w:rPr>
      </w:pPr>
      <w:r>
        <w:rPr>
          <w:szCs w:val="28"/>
        </w:rPr>
        <w:tab/>
        <w:t xml:space="preserve">Это уравнение ИА, описывающее ситуации при больших покрытиях. </w:t>
      </w:r>
      <w:r w:rsidRPr="006938D2">
        <w:rPr>
          <w:szCs w:val="28"/>
        </w:rPr>
        <w:t xml:space="preserve">По смыслу вывода, это уравнение </w:t>
      </w:r>
      <w:r w:rsidRPr="006938D2">
        <w:rPr>
          <w:iCs/>
          <w:szCs w:val="28"/>
        </w:rPr>
        <w:t>мономолекулярной адсорбции на однородной поверхности, полученное без учета взаимодействия адсорбат - адсорбат</w:t>
      </w:r>
      <w:r w:rsidRPr="006938D2">
        <w:rPr>
          <w:szCs w:val="28"/>
        </w:rPr>
        <w:t>.</w:t>
      </w:r>
    </w:p>
    <w:p w14:paraId="07E692DC" w14:textId="3E613862" w:rsidR="00E46401" w:rsidRDefault="00E46401" w:rsidP="00E46401">
      <w:pPr>
        <w:pStyle w:val="Times142"/>
        <w:ind w:firstLine="0"/>
        <w:rPr>
          <w:szCs w:val="28"/>
        </w:rPr>
      </w:pPr>
      <w:r>
        <w:rPr>
          <w:szCs w:val="28"/>
        </w:rPr>
        <w:tab/>
        <w:t xml:space="preserve">Уравнение </w:t>
      </w:r>
      <w:proofErr w:type="spellStart"/>
      <w:r>
        <w:rPr>
          <w:szCs w:val="28"/>
        </w:rPr>
        <w:t>Ленгмюра</w:t>
      </w:r>
      <w:proofErr w:type="spellEnd"/>
      <w:r>
        <w:rPr>
          <w:szCs w:val="28"/>
        </w:rPr>
        <w:t xml:space="preserve"> для хемосорбции, сопровождающейся диссоциацией молекул на два фрагмента, каждый из которых занимает один отдельный центр, записывается как</w:t>
      </w:r>
    </w:p>
    <w:p w14:paraId="339CBB2B" w14:textId="73931AD2" w:rsidR="00E46401" w:rsidRDefault="00E46401" w:rsidP="00E46401">
      <w:pPr>
        <w:pStyle w:val="Times142"/>
        <w:ind w:firstLine="0"/>
        <w:jc w:val="center"/>
        <w:rPr>
          <w:szCs w:val="28"/>
        </w:rPr>
      </w:pPr>
      <w:r w:rsidRPr="006938D2">
        <w:rPr>
          <w:noProof/>
          <w:szCs w:val="28"/>
        </w:rPr>
        <w:drawing>
          <wp:inline distT="0" distB="0" distL="0" distR="0" wp14:anchorId="1EC531C5" wp14:editId="029A4699">
            <wp:extent cx="1930307" cy="3905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35520" cy="391580"/>
                    </a:xfrm>
                    <a:prstGeom prst="rect">
                      <a:avLst/>
                    </a:prstGeom>
                  </pic:spPr>
                </pic:pic>
              </a:graphicData>
            </a:graphic>
          </wp:inline>
        </w:drawing>
      </w:r>
    </w:p>
    <w:p w14:paraId="6C2C6814" w14:textId="3B6F8292" w:rsidR="00E46401" w:rsidRDefault="00E46401" w:rsidP="00E46401">
      <w:pPr>
        <w:pStyle w:val="Times142"/>
        <w:ind w:firstLine="0"/>
        <w:rPr>
          <w:szCs w:val="28"/>
        </w:rPr>
      </w:pPr>
      <w:r>
        <w:rPr>
          <w:szCs w:val="28"/>
        </w:rPr>
        <w:tab/>
        <w:t xml:space="preserve">3). Изотерма </w:t>
      </w:r>
      <w:proofErr w:type="spellStart"/>
      <w:r>
        <w:rPr>
          <w:szCs w:val="28"/>
        </w:rPr>
        <w:t>Фаулера-Гугенгейма</w:t>
      </w:r>
      <w:proofErr w:type="spellEnd"/>
    </w:p>
    <w:p w14:paraId="7EA1A5F9" w14:textId="66FA479E" w:rsidR="00E46401" w:rsidRDefault="00E46401" w:rsidP="00E46401">
      <w:pPr>
        <w:pStyle w:val="Times142"/>
        <w:ind w:firstLine="0"/>
        <w:rPr>
          <w:szCs w:val="28"/>
        </w:rPr>
      </w:pPr>
      <w:r>
        <w:rPr>
          <w:szCs w:val="28"/>
        </w:rPr>
        <w:tab/>
        <w:t xml:space="preserve">При наличии взаимодействия адсорбированных компонентов и тех же прочих условиях используется уравнение ИА </w:t>
      </w:r>
      <w:proofErr w:type="spellStart"/>
      <w:r>
        <w:rPr>
          <w:szCs w:val="28"/>
        </w:rPr>
        <w:t>Фаулера-Гугенгейма</w:t>
      </w:r>
      <w:proofErr w:type="spellEnd"/>
      <w:r>
        <w:rPr>
          <w:szCs w:val="28"/>
        </w:rPr>
        <w:t xml:space="preserve"> (ФГ):</w:t>
      </w:r>
    </w:p>
    <w:p w14:paraId="1A693214" w14:textId="77777777" w:rsidR="00E46401" w:rsidRDefault="00E46401" w:rsidP="00E46401">
      <w:pPr>
        <w:pStyle w:val="Times142"/>
        <w:ind w:firstLine="0"/>
        <w:jc w:val="center"/>
        <w:rPr>
          <w:szCs w:val="28"/>
        </w:rPr>
      </w:pPr>
      <w:r w:rsidRPr="00130ADF">
        <w:rPr>
          <w:noProof/>
          <w:szCs w:val="28"/>
        </w:rPr>
        <w:drawing>
          <wp:inline distT="0" distB="0" distL="0" distR="0" wp14:anchorId="78D6B62D" wp14:editId="44167244">
            <wp:extent cx="2016013" cy="295275"/>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20325" cy="295907"/>
                    </a:xfrm>
                    <a:prstGeom prst="rect">
                      <a:avLst/>
                    </a:prstGeom>
                  </pic:spPr>
                </pic:pic>
              </a:graphicData>
            </a:graphic>
          </wp:inline>
        </w:drawing>
      </w:r>
    </w:p>
    <w:p w14:paraId="6D78CFD1" w14:textId="22143B42" w:rsidR="00E46401" w:rsidRDefault="00E46401" w:rsidP="00E46401">
      <w:pPr>
        <w:pStyle w:val="Times142"/>
        <w:ind w:firstLine="0"/>
        <w:rPr>
          <w:szCs w:val="28"/>
        </w:rPr>
      </w:pPr>
      <w:r>
        <w:rPr>
          <w:szCs w:val="28"/>
        </w:rPr>
        <w:tab/>
        <w:t xml:space="preserve">В уравнении первый член в квадратных скобках - уравнение </w:t>
      </w:r>
      <w:proofErr w:type="spellStart"/>
      <w:r>
        <w:rPr>
          <w:szCs w:val="28"/>
        </w:rPr>
        <w:t>Ленгмюра</w:t>
      </w:r>
      <w:proofErr w:type="spellEnd"/>
      <w:r>
        <w:rPr>
          <w:szCs w:val="28"/>
        </w:rPr>
        <w:t xml:space="preserve"> с константой К, характеризующей взаимодействие адсорбат-адсорбент, а константа К</w:t>
      </w:r>
      <w:r>
        <w:rPr>
          <w:sz w:val="18"/>
          <w:szCs w:val="18"/>
        </w:rPr>
        <w:t xml:space="preserve">1 </w:t>
      </w:r>
      <w:r>
        <w:rPr>
          <w:szCs w:val="28"/>
        </w:rPr>
        <w:t xml:space="preserve">в экспоненте характеризует межмолекулярное взаимодействие </w:t>
      </w:r>
      <w:proofErr w:type="spellStart"/>
      <w:r>
        <w:rPr>
          <w:szCs w:val="28"/>
        </w:rPr>
        <w:t>адсорбат-адсорбат</w:t>
      </w:r>
      <w:proofErr w:type="spellEnd"/>
      <w:r>
        <w:rPr>
          <w:szCs w:val="28"/>
        </w:rPr>
        <w:t xml:space="preserve"> в </w:t>
      </w:r>
      <w:proofErr w:type="spellStart"/>
      <w:r>
        <w:rPr>
          <w:szCs w:val="28"/>
        </w:rPr>
        <w:t>монослое</w:t>
      </w:r>
      <w:proofErr w:type="spellEnd"/>
      <w:r>
        <w:rPr>
          <w:szCs w:val="28"/>
        </w:rPr>
        <w:t>.</w:t>
      </w:r>
    </w:p>
    <w:p w14:paraId="7D320D58" w14:textId="4335D4E6" w:rsidR="00E46401" w:rsidRDefault="00E46401" w:rsidP="00E46401">
      <w:pPr>
        <w:pStyle w:val="Times142"/>
        <w:ind w:firstLine="0"/>
        <w:rPr>
          <w:iCs/>
          <w:szCs w:val="28"/>
        </w:rPr>
      </w:pPr>
      <w:r>
        <w:rPr>
          <w:szCs w:val="28"/>
        </w:rPr>
        <w:tab/>
        <w:t xml:space="preserve">4). Полимолекулярная адсорбция (уравнение </w:t>
      </w:r>
      <w:r w:rsidRPr="00130ADF">
        <w:rPr>
          <w:iCs/>
          <w:szCs w:val="28"/>
        </w:rPr>
        <w:t>Френкеля-</w:t>
      </w:r>
      <w:proofErr w:type="spellStart"/>
      <w:r w:rsidRPr="00130ADF">
        <w:rPr>
          <w:iCs/>
          <w:szCs w:val="28"/>
        </w:rPr>
        <w:t>Хелси</w:t>
      </w:r>
      <w:proofErr w:type="spellEnd"/>
      <w:r w:rsidRPr="00130ADF">
        <w:rPr>
          <w:iCs/>
          <w:szCs w:val="28"/>
        </w:rPr>
        <w:t>-Хилла</w:t>
      </w:r>
      <w:r>
        <w:rPr>
          <w:iCs/>
          <w:szCs w:val="28"/>
        </w:rPr>
        <w:t>)</w:t>
      </w:r>
    </w:p>
    <w:p w14:paraId="61D2C916" w14:textId="39F85DD5" w:rsidR="00E46401" w:rsidRDefault="00E46401" w:rsidP="00E46401">
      <w:pPr>
        <w:pStyle w:val="Times142"/>
        <w:ind w:firstLine="0"/>
        <w:jc w:val="center"/>
        <w:rPr>
          <w:szCs w:val="28"/>
        </w:rPr>
      </w:pPr>
      <w:r w:rsidRPr="00CC5F56">
        <w:rPr>
          <w:noProof/>
          <w:szCs w:val="28"/>
        </w:rPr>
        <w:drawing>
          <wp:inline distT="0" distB="0" distL="0" distR="0" wp14:anchorId="3A55D493" wp14:editId="101FE643">
            <wp:extent cx="2989149" cy="27622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4634" cy="276732"/>
                    </a:xfrm>
                    <a:prstGeom prst="rect">
                      <a:avLst/>
                    </a:prstGeom>
                  </pic:spPr>
                </pic:pic>
              </a:graphicData>
            </a:graphic>
          </wp:inline>
        </w:drawing>
      </w:r>
    </w:p>
    <w:p w14:paraId="56B2BDB4" w14:textId="3793709D" w:rsidR="00E46401" w:rsidRDefault="00E46401" w:rsidP="00E46401">
      <w:pPr>
        <w:pStyle w:val="Times142"/>
        <w:ind w:firstLine="0"/>
        <w:rPr>
          <w:szCs w:val="28"/>
        </w:rPr>
      </w:pPr>
      <w:r>
        <w:rPr>
          <w:szCs w:val="28"/>
        </w:rPr>
        <w:tab/>
        <w:t>Это уравнение обычно используется при анализе распределения пор по размерам по данным капиллярно-конденсационных измерений.</w:t>
      </w:r>
    </w:p>
    <w:p w14:paraId="2E541047" w14:textId="4407A366" w:rsidR="00E46401" w:rsidRDefault="00E46401" w:rsidP="00E46401">
      <w:pPr>
        <w:pStyle w:val="Times142"/>
        <w:ind w:firstLine="0"/>
        <w:rPr>
          <w:szCs w:val="28"/>
        </w:rPr>
      </w:pPr>
      <w:r>
        <w:rPr>
          <w:szCs w:val="28"/>
        </w:rPr>
        <w:tab/>
      </w:r>
      <w:r w:rsidR="00CB5F60">
        <w:rPr>
          <w:szCs w:val="28"/>
        </w:rPr>
        <w:t xml:space="preserve">5). </w:t>
      </w:r>
      <w:r>
        <w:rPr>
          <w:szCs w:val="28"/>
        </w:rPr>
        <w:t>Уравнение БЭТ</w:t>
      </w:r>
    </w:p>
    <w:p w14:paraId="74145FE3" w14:textId="32D13F27" w:rsidR="00041A79" w:rsidRDefault="00041A79" w:rsidP="00041A79">
      <w:pPr>
        <w:pStyle w:val="Times142"/>
        <w:ind w:firstLine="0"/>
        <w:jc w:val="center"/>
        <w:rPr>
          <w:szCs w:val="28"/>
        </w:rPr>
      </w:pPr>
      <w:r w:rsidRPr="009C317C">
        <w:rPr>
          <w:noProof/>
        </w:rPr>
        <w:drawing>
          <wp:inline distT="0" distB="0" distL="0" distR="0" wp14:anchorId="01094A15" wp14:editId="755D5DCD">
            <wp:extent cx="2364104" cy="323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69662" cy="324611"/>
                    </a:xfrm>
                    <a:prstGeom prst="rect">
                      <a:avLst/>
                    </a:prstGeom>
                  </pic:spPr>
                </pic:pic>
              </a:graphicData>
            </a:graphic>
          </wp:inline>
        </w:drawing>
      </w:r>
    </w:p>
    <w:p w14:paraId="20709875" w14:textId="562C9E7F" w:rsidR="00041A79" w:rsidRPr="000902CC" w:rsidRDefault="00041A79" w:rsidP="00041A79">
      <w:pPr>
        <w:pStyle w:val="Times142"/>
        <w:ind w:firstLine="0"/>
        <w:rPr>
          <w:i/>
          <w:szCs w:val="28"/>
        </w:rPr>
      </w:pPr>
      <w:r>
        <w:rPr>
          <w:szCs w:val="28"/>
        </w:rPr>
        <w:tab/>
      </w:r>
      <m:oMath>
        <m:sSub>
          <m:sSubPr>
            <m:ctrlPr>
              <w:rPr>
                <w:rFonts w:ascii="Cambria Math" w:hAnsi="Cambria Math"/>
                <w:i/>
                <w:szCs w:val="28"/>
              </w:rPr>
            </m:ctrlPr>
          </m:sSubPr>
          <m:e>
            <m:r>
              <w:rPr>
                <w:rFonts w:ascii="Cambria Math" w:hAnsi="Cambria Math"/>
                <w:szCs w:val="28"/>
              </w:rPr>
              <m:t>а</m:t>
            </m:r>
          </m:e>
          <m:sub>
            <m:r>
              <w:rPr>
                <w:rFonts w:ascii="Cambria Math" w:hAnsi="Cambria Math"/>
                <w:szCs w:val="28"/>
                <w:lang w:val="en-US"/>
              </w:rPr>
              <m:t>m</m:t>
            </m:r>
          </m:sub>
        </m:sSub>
        <m:r>
          <w:rPr>
            <w:rFonts w:ascii="Cambria Math" w:hAnsi="Cambria Math"/>
            <w:szCs w:val="28"/>
          </w:rPr>
          <m:t>-</m:t>
        </m:r>
      </m:oMath>
      <w:r>
        <w:rPr>
          <w:szCs w:val="28"/>
        </w:rPr>
        <w:t xml:space="preserve"> емкость заполненного монослоя, С – энергетическая константа, зависящая от теплоты адсорбции, а – общая величина адсорбции</w:t>
      </w:r>
      <w:r w:rsidR="000902CC">
        <w:rPr>
          <w:szCs w:val="28"/>
        </w:rPr>
        <w:t xml:space="preserve">, </w:t>
      </w:r>
      <w:r w:rsidR="000902CC">
        <w:rPr>
          <w:szCs w:val="28"/>
          <w:lang w:val="en-US"/>
        </w:rPr>
        <w:t>h</w:t>
      </w:r>
      <w:r w:rsidR="000902CC" w:rsidRPr="000902CC">
        <w:rPr>
          <w:szCs w:val="28"/>
        </w:rPr>
        <w:t xml:space="preserve"> </w:t>
      </w:r>
      <m:oMath>
        <m:r>
          <w:rPr>
            <w:rFonts w:ascii="Cambria Math" w:hAnsi="Cambria Math"/>
            <w:szCs w:val="28"/>
          </w:rPr>
          <m:t>–</m:t>
        </m:r>
      </m:oMath>
      <w:r w:rsidR="000902CC" w:rsidRPr="000902CC">
        <w:rPr>
          <w:szCs w:val="28"/>
        </w:rPr>
        <w:t xml:space="preserve"> </w:t>
      </w:r>
      <w:r w:rsidR="000902CC">
        <w:rPr>
          <w:szCs w:val="28"/>
        </w:rPr>
        <w:t xml:space="preserve">относительное давление. </w:t>
      </w:r>
    </w:p>
    <w:p w14:paraId="08C09F5F" w14:textId="24A21803" w:rsidR="00E46401" w:rsidRDefault="00E46401" w:rsidP="00E46401">
      <w:pPr>
        <w:pStyle w:val="Times142"/>
        <w:ind w:firstLine="0"/>
      </w:pPr>
      <w:r>
        <w:rPr>
          <w:szCs w:val="28"/>
        </w:rPr>
        <w:lastRenderedPageBreak/>
        <w:tab/>
      </w:r>
      <w:r>
        <w:t>Уравнение используется для измерений удельной поверхности</w:t>
      </w:r>
      <w:r w:rsidR="00041A79">
        <w:t>.</w:t>
      </w:r>
    </w:p>
    <w:p w14:paraId="31025C0D" w14:textId="77777777" w:rsidR="00CB5F60" w:rsidRDefault="00CB5F60" w:rsidP="00CB5F60">
      <w:pPr>
        <w:pStyle w:val="Times142"/>
        <w:ind w:firstLine="0"/>
        <w:jc w:val="center"/>
        <w:rPr>
          <w:noProof/>
        </w:rPr>
      </w:pPr>
    </w:p>
    <w:p w14:paraId="38D4A7EA" w14:textId="77777777" w:rsidR="00CB5F60" w:rsidRDefault="00CB5F60" w:rsidP="00CB5F60">
      <w:pPr>
        <w:pStyle w:val="Times142"/>
        <w:ind w:firstLine="0"/>
        <w:jc w:val="center"/>
        <w:rPr>
          <w:noProof/>
        </w:rPr>
      </w:pPr>
    </w:p>
    <w:p w14:paraId="19FC1C95" w14:textId="77777777" w:rsidR="00CB5F60" w:rsidRDefault="00CB5F60" w:rsidP="00CB5F60">
      <w:pPr>
        <w:pStyle w:val="Times142"/>
        <w:keepNext/>
        <w:ind w:firstLine="0"/>
        <w:jc w:val="center"/>
      </w:pPr>
      <w:r w:rsidRPr="00532496">
        <w:rPr>
          <w:noProof/>
        </w:rPr>
        <w:drawing>
          <wp:inline distT="0" distB="0" distL="0" distR="0" wp14:anchorId="1BDF8DE6" wp14:editId="2D1A0B9E">
            <wp:extent cx="2771775" cy="141902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15652" b="26671"/>
                    <a:stretch/>
                  </pic:blipFill>
                  <pic:spPr bwMode="auto">
                    <a:xfrm>
                      <a:off x="0" y="0"/>
                      <a:ext cx="2780148" cy="1423315"/>
                    </a:xfrm>
                    <a:prstGeom prst="rect">
                      <a:avLst/>
                    </a:prstGeom>
                    <a:ln>
                      <a:noFill/>
                    </a:ln>
                    <a:extLst>
                      <a:ext uri="{53640926-AAD7-44D8-BBD7-CCE9431645EC}">
                        <a14:shadowObscured xmlns:a14="http://schemas.microsoft.com/office/drawing/2010/main"/>
                      </a:ext>
                    </a:extLst>
                  </pic:spPr>
                </pic:pic>
              </a:graphicData>
            </a:graphic>
          </wp:inline>
        </w:drawing>
      </w:r>
    </w:p>
    <w:p w14:paraId="77265A7A" w14:textId="37468268" w:rsidR="00CB5F60" w:rsidRDefault="00CB5F60" w:rsidP="00CB5F60">
      <w:pPr>
        <w:pStyle w:val="a4"/>
        <w:jc w:val="center"/>
      </w:pPr>
      <w:r w:rsidRPr="00CB5F60">
        <w:t xml:space="preserve">Рисунок </w:t>
      </w:r>
      <w:fldSimple w:instr=" SEQ Рисунок \* ARABIC ">
        <w:r w:rsidR="002B6F2B">
          <w:rPr>
            <w:noProof/>
          </w:rPr>
          <w:t>2</w:t>
        </w:r>
      </w:fldSimple>
      <w:r>
        <w:t xml:space="preserve">. Схема адсорбции по </w:t>
      </w:r>
      <w:proofErr w:type="spellStart"/>
      <w:r>
        <w:t>Ленгмюру</w:t>
      </w:r>
      <w:proofErr w:type="spellEnd"/>
      <w:r>
        <w:t xml:space="preserve"> и БЭТ</w:t>
      </w:r>
    </w:p>
    <w:p w14:paraId="49B4C1F1" w14:textId="026A2F66" w:rsidR="000902CC" w:rsidRDefault="000902CC" w:rsidP="000902CC">
      <w:pPr>
        <w:pStyle w:val="Times142"/>
        <w:rPr>
          <w:szCs w:val="28"/>
        </w:rPr>
      </w:pPr>
      <w:r>
        <w:rPr>
          <w:szCs w:val="28"/>
        </w:rPr>
        <w:t xml:space="preserve">Если перенос </w:t>
      </w:r>
      <w:proofErr w:type="spellStart"/>
      <w:r>
        <w:rPr>
          <w:szCs w:val="28"/>
        </w:rPr>
        <w:t>адсорбтива</w:t>
      </w:r>
      <w:proofErr w:type="spellEnd"/>
      <w:r>
        <w:rPr>
          <w:szCs w:val="28"/>
        </w:rPr>
        <w:t xml:space="preserve"> на поверхность твердого тела осуществляется потоком газа-носителя, принудительно перемещаемого относительно адсорбента, эти методы измерения адсорбции называют проточными или динамическими – эти методы широко используются в экспрессных измерениях. Такой способ исследования реализуется в приборах серии </w:t>
      </w:r>
      <w:proofErr w:type="spellStart"/>
      <w:r>
        <w:rPr>
          <w:szCs w:val="28"/>
        </w:rPr>
        <w:t>Сорби</w:t>
      </w:r>
      <w:proofErr w:type="spellEnd"/>
      <w:r>
        <w:rPr>
          <w:szCs w:val="28"/>
        </w:rPr>
        <w:t xml:space="preserve">, в частности, в приборе </w:t>
      </w:r>
      <w:proofErr w:type="spellStart"/>
      <w:r>
        <w:rPr>
          <w:szCs w:val="28"/>
        </w:rPr>
        <w:t>Сорби</w:t>
      </w:r>
      <w:proofErr w:type="spellEnd"/>
      <w:r>
        <w:rPr>
          <w:szCs w:val="28"/>
        </w:rPr>
        <w:t xml:space="preserve"> MS, используемом в данной работе Преимущество: неразрушающим контроль и отсутствие токсичности. </w:t>
      </w:r>
      <w:r w:rsidR="00F30575">
        <w:rPr>
          <w:szCs w:val="28"/>
        </w:rPr>
        <w:t xml:space="preserve">Недостатки: исследование объемной структуры, нужны математические модели. </w:t>
      </w:r>
    </w:p>
    <w:p w14:paraId="368105DB" w14:textId="08C8BEBC" w:rsidR="000902CC" w:rsidRDefault="000902CC" w:rsidP="000902CC">
      <w:pPr>
        <w:pStyle w:val="Times142"/>
      </w:pPr>
      <w:r>
        <w:t xml:space="preserve">Определение величины удельной поверхности </w:t>
      </w:r>
      <w:proofErr w:type="spellStart"/>
      <w:r>
        <w:t>Sуд</w:t>
      </w:r>
      <w:proofErr w:type="spellEnd"/>
      <w:r>
        <w:t xml:space="preserve"> на приборах серии </w:t>
      </w:r>
      <w:proofErr w:type="spellStart"/>
      <w:r>
        <w:t>Сорби</w:t>
      </w:r>
      <w:proofErr w:type="spellEnd"/>
      <w:r>
        <w:t xml:space="preserve"> основано на измерении количества газа-адсорбата, сорбируемого на поверхности исследуемого образца при температуре жидкого азота и различных относительных парциальных давлениях Р/Р</w:t>
      </w:r>
      <w:r w:rsidRPr="00CB6B79">
        <w:rPr>
          <w:vertAlign w:val="subscript"/>
        </w:rPr>
        <w:t>0</w:t>
      </w:r>
      <w:r>
        <w:t xml:space="preserve"> (Р – парциальное давление адсорбата (азот), Р</w:t>
      </w:r>
      <w:r w:rsidRPr="00CB6B79">
        <w:rPr>
          <w:vertAlign w:val="subscript"/>
        </w:rPr>
        <w:t>0</w:t>
      </w:r>
      <w:r>
        <w:t xml:space="preserve"> – давление насыщенного пара адсорбата при температуре жидкого азота Т= –196°С). </w:t>
      </w:r>
    </w:p>
    <w:p w14:paraId="0ECA6B18" w14:textId="77777777" w:rsidR="000902CC" w:rsidRDefault="000902CC" w:rsidP="000902CC">
      <w:pPr>
        <w:pStyle w:val="Times142"/>
      </w:pPr>
      <w:r>
        <w:t xml:space="preserve">Количество адсорбированного газа можно определить методом тепловой десорбции. Он заключается в том, что, охлаждая образец до температуры кипения жидкого азота (77 К), адсорбцию проводят достаточно длительное время до ее полного завершения. Затем быстро нагревают адсорбер до температуры выше 150 К. При этом газ, адсорбированный на образце, </w:t>
      </w:r>
      <w:proofErr w:type="spellStart"/>
      <w:r>
        <w:t>десорбируется</w:t>
      </w:r>
      <w:proofErr w:type="spellEnd"/>
      <w:r>
        <w:t xml:space="preserve"> быстро, так как движущей силой десорбции является </w:t>
      </w:r>
      <w:r>
        <w:lastRenderedPageBreak/>
        <w:t xml:space="preserve">не только диффузия, но и увеличение давления адсорбата внутри образца. В ходе десорбции концентрация адсорбата в выходящем из адсорбера потоке газа вначале возрастает, а затем падает до прежнего значения, что фиксируется детектором в виде десорбционного пика. </w:t>
      </w:r>
    </w:p>
    <w:p w14:paraId="004E91BD" w14:textId="77777777" w:rsidR="000902CC" w:rsidRDefault="000902CC" w:rsidP="000902CC">
      <w:pPr>
        <w:pStyle w:val="Times142"/>
        <w:rPr>
          <w:szCs w:val="28"/>
        </w:rPr>
      </w:pPr>
      <w:r>
        <w:rPr>
          <w:szCs w:val="28"/>
        </w:rPr>
        <w:t xml:space="preserve">В основу определения удельной поверхности на приборах серии </w:t>
      </w:r>
      <w:proofErr w:type="spellStart"/>
      <w:r>
        <w:rPr>
          <w:szCs w:val="28"/>
        </w:rPr>
        <w:t>Sorbi</w:t>
      </w:r>
      <w:proofErr w:type="spellEnd"/>
      <w:r>
        <w:rPr>
          <w:szCs w:val="28"/>
        </w:rPr>
        <w:t xml:space="preserve"> положен метод </w:t>
      </w:r>
      <w:proofErr w:type="spellStart"/>
      <w:r>
        <w:rPr>
          <w:szCs w:val="28"/>
        </w:rPr>
        <w:t>Брунауэра</w:t>
      </w:r>
      <w:proofErr w:type="spellEnd"/>
      <w:r>
        <w:rPr>
          <w:szCs w:val="28"/>
        </w:rPr>
        <w:t xml:space="preserve">, </w:t>
      </w:r>
      <w:proofErr w:type="spellStart"/>
      <w:r>
        <w:rPr>
          <w:szCs w:val="28"/>
        </w:rPr>
        <w:t>Эммета</w:t>
      </w:r>
      <w:proofErr w:type="spellEnd"/>
      <w:r>
        <w:rPr>
          <w:szCs w:val="28"/>
        </w:rPr>
        <w:t xml:space="preserve">, </w:t>
      </w:r>
      <w:proofErr w:type="spellStart"/>
      <w:r>
        <w:rPr>
          <w:szCs w:val="28"/>
        </w:rPr>
        <w:t>Теллера</w:t>
      </w:r>
      <w:proofErr w:type="spellEnd"/>
      <w:r>
        <w:rPr>
          <w:szCs w:val="28"/>
        </w:rPr>
        <w:t xml:space="preserve"> (БЭТ), представленный в линейной форме:</w:t>
      </w:r>
    </w:p>
    <w:p w14:paraId="6139A80B" w14:textId="77777777" w:rsidR="000902CC" w:rsidRPr="00816F96" w:rsidRDefault="007F5AB2" w:rsidP="000902CC">
      <w:pPr>
        <w:pStyle w:val="Times142"/>
        <w:rPr>
          <w:lang w:val="en-US"/>
        </w:rPr>
      </w:pPr>
      <m:oMathPara>
        <m:oMath>
          <m:f>
            <m:fPr>
              <m:ctrlPr>
                <w:rPr>
                  <w:rFonts w:ascii="Cambria Math" w:hAnsi="Cambria Math"/>
                  <w:i/>
                </w:rPr>
              </m:ctrlPr>
            </m:fPr>
            <m:num>
              <m:f>
                <m:fPr>
                  <m:type m:val="lin"/>
                  <m:ctrlPr>
                    <w:rPr>
                      <w:rFonts w:ascii="Cambria Math" w:hAnsi="Cambria Math"/>
                      <w:i/>
                    </w:rPr>
                  </m:ctrlPr>
                </m:fPr>
                <m:num>
                  <m:r>
                    <w:rPr>
                      <w:rFonts w:ascii="Cambria Math" w:hAnsi="Cambria Math"/>
                      <w:lang w:val="en-US"/>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num>
            <m:den>
              <m:r>
                <w:rPr>
                  <w:rFonts w:ascii="Cambria Math" w:hAnsi="Cambria Math"/>
                </w:rPr>
                <m:t>V</m:t>
              </m:r>
              <m:d>
                <m:dPr>
                  <m:ctrlPr>
                    <w:rPr>
                      <w:rFonts w:ascii="Cambria Math" w:hAnsi="Cambria Math"/>
                      <w:i/>
                    </w:rPr>
                  </m:ctrlPr>
                </m:dPr>
                <m:e>
                  <m:f>
                    <m:fPr>
                      <m:type m:val="lin"/>
                      <m:ctrlPr>
                        <w:rPr>
                          <w:rFonts w:ascii="Cambria Math" w:hAnsi="Cambria Math"/>
                          <w:i/>
                        </w:rPr>
                      </m:ctrlPr>
                    </m:fPr>
                    <m:num>
                      <m:r>
                        <w:rPr>
                          <w:rFonts w:ascii="Cambria Math" w:hAnsi="Cambria Math"/>
                        </w:rPr>
                        <m:t>1-P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C</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C-1</m:t>
                  </m:r>
                </m:e>
              </m:d>
            </m:num>
            <m:den>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C</m:t>
              </m:r>
            </m:den>
          </m:f>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oMath>
      </m:oMathPara>
    </w:p>
    <w:p w14:paraId="7BF0AA86" w14:textId="56A8AC23" w:rsidR="000902CC" w:rsidRPr="00816F96" w:rsidRDefault="00F30575" w:rsidP="000902CC">
      <w:pPr>
        <w:pStyle w:val="Times142"/>
        <w:ind w:firstLine="0"/>
        <w:rPr>
          <w:szCs w:val="28"/>
        </w:rPr>
      </w:pPr>
      <w:r>
        <w:rPr>
          <w:szCs w:val="28"/>
        </w:rPr>
        <w:tab/>
      </w:r>
      <w:r w:rsidR="000902CC" w:rsidRPr="00816F96">
        <w:rPr>
          <w:szCs w:val="28"/>
        </w:rPr>
        <w:t xml:space="preserve">где </w:t>
      </w:r>
      <w:proofErr w:type="spellStart"/>
      <w:r w:rsidR="000902CC" w:rsidRPr="00816F96">
        <w:rPr>
          <w:i/>
          <w:szCs w:val="28"/>
        </w:rPr>
        <w:t>V</w:t>
      </w:r>
      <w:r w:rsidR="000902CC" w:rsidRPr="00816F96">
        <w:rPr>
          <w:i/>
          <w:szCs w:val="28"/>
          <w:vertAlign w:val="subscript"/>
        </w:rPr>
        <w:t>m</w:t>
      </w:r>
      <w:proofErr w:type="spellEnd"/>
      <w:r w:rsidR="000902CC" w:rsidRPr="00816F96">
        <w:rPr>
          <w:szCs w:val="28"/>
        </w:rPr>
        <w:t xml:space="preserve"> – удельная ёмкость </w:t>
      </w:r>
      <w:proofErr w:type="spellStart"/>
      <w:r w:rsidR="000902CC" w:rsidRPr="00816F96">
        <w:rPr>
          <w:szCs w:val="28"/>
        </w:rPr>
        <w:t>монослоя</w:t>
      </w:r>
      <w:proofErr w:type="spellEnd"/>
      <w:r w:rsidR="000902CC" w:rsidRPr="00816F96">
        <w:rPr>
          <w:szCs w:val="28"/>
        </w:rPr>
        <w:t xml:space="preserve"> - количество газа - адсорбата в см</w:t>
      </w:r>
      <w:r w:rsidR="000902CC" w:rsidRPr="00816F96">
        <w:rPr>
          <w:szCs w:val="28"/>
          <w:vertAlign w:val="superscript"/>
        </w:rPr>
        <w:t>3</w:t>
      </w:r>
      <w:r w:rsidR="000902CC" w:rsidRPr="00816F96">
        <w:rPr>
          <w:szCs w:val="28"/>
        </w:rPr>
        <w:t xml:space="preserve"> </w:t>
      </w:r>
      <w:r w:rsidR="000902CC">
        <w:rPr>
          <w:szCs w:val="28"/>
        </w:rPr>
        <w:t>(при</w:t>
      </w:r>
      <w:r w:rsidR="000902CC" w:rsidRPr="00816F96">
        <w:rPr>
          <w:szCs w:val="28"/>
        </w:rPr>
        <w:t xml:space="preserve">веденных к нормальной температуре Т=0°С и барометрическому давлению Р=760 мм </w:t>
      </w:r>
      <w:proofErr w:type="spellStart"/>
      <w:r w:rsidR="000902CC" w:rsidRPr="00816F96">
        <w:rPr>
          <w:szCs w:val="28"/>
        </w:rPr>
        <w:t>рт.ст</w:t>
      </w:r>
      <w:proofErr w:type="spellEnd"/>
      <w:r w:rsidR="000902CC" w:rsidRPr="00816F96">
        <w:rPr>
          <w:szCs w:val="28"/>
        </w:rPr>
        <w:t>.,) на грамм образца, которое поглотилось бы образ</w:t>
      </w:r>
      <w:r w:rsidR="000902CC">
        <w:rPr>
          <w:szCs w:val="28"/>
        </w:rPr>
        <w:t xml:space="preserve">цом при </w:t>
      </w:r>
      <w:proofErr w:type="spellStart"/>
      <w:r w:rsidR="000902CC">
        <w:rPr>
          <w:szCs w:val="28"/>
        </w:rPr>
        <w:t>мо</w:t>
      </w:r>
      <w:r w:rsidR="000902CC" w:rsidRPr="00816F96">
        <w:rPr>
          <w:szCs w:val="28"/>
        </w:rPr>
        <w:t>нослойном</w:t>
      </w:r>
      <w:proofErr w:type="spellEnd"/>
      <w:r w:rsidR="000902CC" w:rsidRPr="00816F96">
        <w:rPr>
          <w:szCs w:val="28"/>
        </w:rPr>
        <w:t xml:space="preserve"> покрытии всей поверхности молекулами газа - адсорбата; </w:t>
      </w:r>
    </w:p>
    <w:p w14:paraId="5ACAE0EC" w14:textId="0ABB834C" w:rsidR="000902CC" w:rsidRPr="00816F96" w:rsidRDefault="00F30575" w:rsidP="000902CC">
      <w:pPr>
        <w:pStyle w:val="Times142"/>
        <w:ind w:firstLine="0"/>
        <w:rPr>
          <w:szCs w:val="28"/>
        </w:rPr>
      </w:pPr>
      <w:r>
        <w:rPr>
          <w:i/>
          <w:szCs w:val="28"/>
        </w:rPr>
        <w:tab/>
      </w:r>
      <w:r w:rsidR="000902CC" w:rsidRPr="00816F96">
        <w:rPr>
          <w:i/>
          <w:szCs w:val="28"/>
        </w:rPr>
        <w:t>V</w:t>
      </w:r>
      <w:r w:rsidR="000902CC" w:rsidRPr="00816F96">
        <w:rPr>
          <w:szCs w:val="28"/>
        </w:rPr>
        <w:t xml:space="preserve"> - объём адсорбированного газа на грамм образца; </w:t>
      </w:r>
    </w:p>
    <w:p w14:paraId="34239C85" w14:textId="1BFE6D80" w:rsidR="000902CC" w:rsidRPr="00816F96" w:rsidRDefault="00F30575" w:rsidP="000902CC">
      <w:pPr>
        <w:pStyle w:val="Times142"/>
        <w:ind w:firstLine="0"/>
        <w:rPr>
          <w:szCs w:val="28"/>
        </w:rPr>
      </w:pPr>
      <w:r>
        <w:rPr>
          <w:i/>
          <w:szCs w:val="28"/>
        </w:rPr>
        <w:tab/>
      </w:r>
      <w:r w:rsidR="000902CC" w:rsidRPr="00816F96">
        <w:rPr>
          <w:i/>
          <w:szCs w:val="28"/>
        </w:rPr>
        <w:t>С</w:t>
      </w:r>
      <w:r w:rsidR="000902CC" w:rsidRPr="00816F96">
        <w:rPr>
          <w:szCs w:val="28"/>
        </w:rPr>
        <w:t xml:space="preserve"> – безразмерная энергетическая константа, зависящая от теплоты адсорбции и температуры (для газа - адсорбата азота С = 100).</w:t>
      </w:r>
    </w:p>
    <w:p w14:paraId="55386B8A" w14:textId="6A5D6527" w:rsidR="000902CC" w:rsidRDefault="00F30575" w:rsidP="000902CC">
      <w:pPr>
        <w:pStyle w:val="Times142"/>
        <w:ind w:firstLine="0"/>
        <w:rPr>
          <w:szCs w:val="28"/>
        </w:rPr>
      </w:pPr>
      <w:r>
        <w:rPr>
          <w:szCs w:val="28"/>
        </w:rPr>
        <w:tab/>
      </w:r>
      <w:r w:rsidR="000902CC">
        <w:rPr>
          <w:szCs w:val="28"/>
        </w:rPr>
        <w:t xml:space="preserve">Зная объём адсорбированного газа на грамм образца </w:t>
      </w:r>
      <w:r w:rsidR="000902CC" w:rsidRPr="00816F96">
        <w:rPr>
          <w:i/>
          <w:szCs w:val="28"/>
        </w:rPr>
        <w:t>V</w:t>
      </w:r>
      <w:r w:rsidR="000902CC">
        <w:rPr>
          <w:szCs w:val="28"/>
        </w:rPr>
        <w:t xml:space="preserve">, строим график зависимости параметра </w:t>
      </w:r>
      <m:oMath>
        <m:f>
          <m:fPr>
            <m:ctrlPr>
              <w:rPr>
                <w:rFonts w:ascii="Cambria Math" w:hAnsi="Cambria Math"/>
                <w:i/>
              </w:rPr>
            </m:ctrlPr>
          </m:fPr>
          <m:num>
            <m:f>
              <m:fPr>
                <m:type m:val="lin"/>
                <m:ctrlPr>
                  <w:rPr>
                    <w:rFonts w:ascii="Cambria Math" w:hAnsi="Cambria Math"/>
                    <w:i/>
                  </w:rPr>
                </m:ctrlPr>
              </m:fPr>
              <m:num>
                <m:r>
                  <w:rPr>
                    <w:rFonts w:ascii="Cambria Math" w:hAnsi="Cambria Math"/>
                    <w:lang w:val="en-US"/>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num>
          <m:den>
            <m:r>
              <w:rPr>
                <w:rFonts w:ascii="Cambria Math" w:hAnsi="Cambria Math"/>
              </w:rPr>
              <m:t>V</m:t>
            </m:r>
            <m:d>
              <m:dPr>
                <m:ctrlPr>
                  <w:rPr>
                    <w:rFonts w:ascii="Cambria Math" w:hAnsi="Cambria Math"/>
                    <w:i/>
                  </w:rPr>
                </m:ctrlPr>
              </m:dPr>
              <m:e>
                <m:f>
                  <m:fPr>
                    <m:type m:val="lin"/>
                    <m:ctrlPr>
                      <w:rPr>
                        <w:rFonts w:ascii="Cambria Math" w:hAnsi="Cambria Math"/>
                        <w:i/>
                      </w:rPr>
                    </m:ctrlPr>
                  </m:fPr>
                  <m:num>
                    <m:r>
                      <w:rPr>
                        <w:rFonts w:ascii="Cambria Math" w:hAnsi="Cambria Math"/>
                      </w:rPr>
                      <m:t>1-P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d>
          </m:den>
        </m:f>
      </m:oMath>
      <w:r w:rsidR="000902CC">
        <w:t xml:space="preserve"> </w:t>
      </w:r>
      <w:r w:rsidR="000902CC">
        <w:rPr>
          <w:szCs w:val="28"/>
        </w:rPr>
        <w:t>от величины относительного парциального давления. Из величины тангенса угла наклона прямой «М» [г/см</w:t>
      </w:r>
      <w:r w:rsidR="000902CC" w:rsidRPr="00816F96">
        <w:rPr>
          <w:szCs w:val="18"/>
          <w:vertAlign w:val="superscript"/>
        </w:rPr>
        <w:t>3</w:t>
      </w:r>
      <w:r w:rsidR="000902CC">
        <w:rPr>
          <w:szCs w:val="28"/>
        </w:rPr>
        <w:t>] и отрезка «В» [г/см</w:t>
      </w:r>
      <w:r w:rsidR="000902CC" w:rsidRPr="00816F96">
        <w:rPr>
          <w:szCs w:val="18"/>
          <w:vertAlign w:val="superscript"/>
        </w:rPr>
        <w:t>3</w:t>
      </w:r>
      <w:r w:rsidR="000902CC">
        <w:rPr>
          <w:szCs w:val="28"/>
        </w:rPr>
        <w:t xml:space="preserve">], отсекаемого ею на оси ординат, рассчитывается значение </w:t>
      </w:r>
      <w:proofErr w:type="spellStart"/>
      <w:r w:rsidR="000902CC" w:rsidRPr="00816F96">
        <w:rPr>
          <w:i/>
          <w:szCs w:val="28"/>
        </w:rPr>
        <w:t>V</w:t>
      </w:r>
      <w:r w:rsidR="000902CC" w:rsidRPr="00816F96">
        <w:rPr>
          <w:i/>
          <w:szCs w:val="28"/>
          <w:vertAlign w:val="subscript"/>
        </w:rPr>
        <w:t>m</w:t>
      </w:r>
      <w:proofErr w:type="spellEnd"/>
      <w:r w:rsidR="000902CC">
        <w:rPr>
          <w:szCs w:val="28"/>
        </w:rPr>
        <w:t xml:space="preserve"> по уравнению:</w:t>
      </w:r>
    </w:p>
    <w:p w14:paraId="70826313" w14:textId="77777777" w:rsidR="000902CC" w:rsidRPr="00816F96" w:rsidRDefault="007F5AB2" w:rsidP="000902CC">
      <w:pPr>
        <w:pStyle w:val="Times142"/>
        <w:ind w:firstLine="0"/>
        <w:rPr>
          <w:lang w:val="en-US"/>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lang w:val="en-US"/>
                </w:rPr>
                <m:t>B+M</m:t>
              </m:r>
            </m:den>
          </m:f>
        </m:oMath>
      </m:oMathPara>
    </w:p>
    <w:p w14:paraId="551FB6DA" w14:textId="77777777" w:rsidR="000902CC" w:rsidRPr="005762E5" w:rsidRDefault="000902CC" w:rsidP="000902CC">
      <w:pPr>
        <w:pStyle w:val="Times142"/>
        <w:ind w:firstLine="0"/>
        <w:rPr>
          <w:szCs w:val="28"/>
        </w:rPr>
      </w:pPr>
      <w:r>
        <w:rPr>
          <w:szCs w:val="28"/>
        </w:rPr>
        <w:t xml:space="preserve">Далее величина удельной поверхности образца </w:t>
      </w:r>
      <w:proofErr w:type="spellStart"/>
      <w:r w:rsidRPr="00816F96">
        <w:rPr>
          <w:i/>
          <w:szCs w:val="28"/>
        </w:rPr>
        <w:t>S</w:t>
      </w:r>
      <w:r w:rsidRPr="00816F96">
        <w:rPr>
          <w:i/>
          <w:szCs w:val="28"/>
          <w:vertAlign w:val="subscript"/>
        </w:rPr>
        <w:t>уд</w:t>
      </w:r>
      <w:proofErr w:type="spellEnd"/>
      <w:r>
        <w:rPr>
          <w:szCs w:val="28"/>
        </w:rPr>
        <w:t xml:space="preserve"> [м</w:t>
      </w:r>
      <w:r w:rsidRPr="00816F96">
        <w:rPr>
          <w:szCs w:val="28"/>
          <w:vertAlign w:val="superscript"/>
        </w:rPr>
        <w:t>2</w:t>
      </w:r>
      <w:r>
        <w:rPr>
          <w:szCs w:val="28"/>
        </w:rPr>
        <w:t>/г] определяется по формуле:</w:t>
      </w:r>
    </w:p>
    <w:p w14:paraId="3CB6B937" w14:textId="77777777" w:rsidR="000902CC" w:rsidRPr="00816F96" w:rsidRDefault="007F5AB2" w:rsidP="000902CC">
      <w:pPr>
        <w:pStyle w:val="Times142"/>
        <w:ind w:firstLine="0"/>
        <w:rPr>
          <w:szCs w:val="28"/>
          <w:lang w:val="en-US"/>
        </w:rPr>
      </w:pPr>
      <m:oMathPara>
        <m:oMath>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rPr>
                <m:t>уд</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0</m:t>
              </m:r>
            </m:sub>
          </m:sSub>
          <m:sSub>
            <m:sSubPr>
              <m:ctrlPr>
                <w:rPr>
                  <w:rFonts w:ascii="Cambria Math" w:hAnsi="Cambria Math"/>
                  <w:i/>
                  <w:szCs w:val="28"/>
                  <w:lang w:val="en-US"/>
                </w:rPr>
              </m:ctrlPr>
            </m:sSubPr>
            <m:e>
              <m:r>
                <w:rPr>
                  <w:rFonts w:ascii="Cambria Math" w:hAnsi="Cambria Math"/>
                  <w:szCs w:val="28"/>
                  <w:lang w:val="en-US"/>
                </w:rPr>
                <m:t>V</m:t>
              </m:r>
            </m:e>
            <m:sub>
              <m:r>
                <w:rPr>
                  <w:rFonts w:ascii="Cambria Math" w:hAnsi="Cambria Math"/>
                  <w:szCs w:val="28"/>
                  <w:lang w:val="en-US"/>
                </w:rPr>
                <m:t>m</m:t>
              </m:r>
            </m:sub>
          </m:sSub>
        </m:oMath>
      </m:oMathPara>
    </w:p>
    <w:p w14:paraId="59FC9389" w14:textId="7516299B" w:rsidR="000902CC" w:rsidRPr="000902CC" w:rsidRDefault="000902CC" w:rsidP="000902CC">
      <w:pPr>
        <w:pStyle w:val="Times142"/>
        <w:ind w:firstLine="0"/>
        <w:rPr>
          <w:szCs w:val="28"/>
        </w:rPr>
      </w:pPr>
      <w:r>
        <w:rPr>
          <w:szCs w:val="28"/>
        </w:rPr>
        <w:t xml:space="preserve">где </w:t>
      </w:r>
      <w:r w:rsidRPr="00816F96">
        <w:rPr>
          <w:i/>
          <w:szCs w:val="28"/>
        </w:rPr>
        <w:t>S</w:t>
      </w:r>
      <w:r w:rsidRPr="00816F96">
        <w:rPr>
          <w:i/>
          <w:szCs w:val="28"/>
          <w:vertAlign w:val="subscript"/>
        </w:rPr>
        <w:t>0</w:t>
      </w:r>
      <w:r>
        <w:rPr>
          <w:szCs w:val="28"/>
        </w:rPr>
        <w:t xml:space="preserve"> - площадь, которую занимает 1 см</w:t>
      </w:r>
      <w:r w:rsidRPr="00816F96">
        <w:rPr>
          <w:szCs w:val="18"/>
          <w:vertAlign w:val="superscript"/>
        </w:rPr>
        <w:t>3</w:t>
      </w:r>
      <w:r>
        <w:rPr>
          <w:sz w:val="18"/>
          <w:szCs w:val="18"/>
        </w:rPr>
        <w:t xml:space="preserve"> </w:t>
      </w:r>
      <w:r>
        <w:rPr>
          <w:szCs w:val="28"/>
        </w:rPr>
        <w:t xml:space="preserve">газа-адсорбата (для азота </w:t>
      </w:r>
      <w:r w:rsidRPr="00816F96">
        <w:rPr>
          <w:i/>
          <w:szCs w:val="28"/>
        </w:rPr>
        <w:t>S</w:t>
      </w:r>
      <w:r w:rsidRPr="00816F96">
        <w:rPr>
          <w:i/>
          <w:szCs w:val="28"/>
          <w:vertAlign w:val="subscript"/>
        </w:rPr>
        <w:t>0</w:t>
      </w:r>
      <w:r>
        <w:rPr>
          <w:szCs w:val="28"/>
        </w:rPr>
        <w:t>=4,35 м</w:t>
      </w:r>
      <w:r w:rsidRPr="00816F96">
        <w:rPr>
          <w:szCs w:val="18"/>
          <w:vertAlign w:val="superscript"/>
        </w:rPr>
        <w:t>2</w:t>
      </w:r>
      <w:r>
        <w:rPr>
          <w:szCs w:val="28"/>
        </w:rPr>
        <w:t>/см</w:t>
      </w:r>
      <w:r w:rsidRPr="00816F96">
        <w:rPr>
          <w:szCs w:val="18"/>
          <w:vertAlign w:val="superscript"/>
        </w:rPr>
        <w:t>3</w:t>
      </w:r>
      <w:r>
        <w:rPr>
          <w:szCs w:val="28"/>
        </w:rPr>
        <w:t>), адсорбированный мономолекулярным слоем.</w:t>
      </w:r>
    </w:p>
    <w:p w14:paraId="760928DF" w14:textId="59743405" w:rsidR="00CB5F60" w:rsidRDefault="00041A79" w:rsidP="00041A79">
      <w:pPr>
        <w:pStyle w:val="Times142"/>
      </w:pPr>
      <w:r>
        <w:lastRenderedPageBreak/>
        <w:t>Основные факторы, влияющие на результаты измерений в данной работе:</w:t>
      </w:r>
    </w:p>
    <w:p w14:paraId="300C0F6C" w14:textId="22C2E06D" w:rsidR="00041A79" w:rsidRPr="00041A79" w:rsidRDefault="00041A79" w:rsidP="00041A79">
      <w:pPr>
        <w:pStyle w:val="Times142"/>
        <w:ind w:firstLine="0"/>
      </w:pPr>
      <w:r w:rsidRPr="00041A79">
        <w:tab/>
        <w:t>1)Предварительная подготовка образца. От точности и очередности выполнения ручных операций зависит погрешность измерений.</w:t>
      </w:r>
    </w:p>
    <w:p w14:paraId="59B8624C" w14:textId="7C3545C7" w:rsidR="00041A79" w:rsidRPr="00041A79" w:rsidRDefault="00041A79" w:rsidP="00041A79">
      <w:pPr>
        <w:pStyle w:val="Times142"/>
        <w:ind w:firstLine="0"/>
      </w:pPr>
      <w:r w:rsidRPr="00041A79">
        <w:tab/>
        <w:t xml:space="preserve">2)Выбор газов. Чувствительность детектора зависит от теплопроводности газа-носителя, поэтому нужно использовать газы с максимально возможной теплопроводностью, такие как гелий, азот или водород.  </w:t>
      </w:r>
    </w:p>
    <w:p w14:paraId="119FE311" w14:textId="29287643" w:rsidR="00041A79" w:rsidRPr="00041A79" w:rsidRDefault="00041A79" w:rsidP="00041A79">
      <w:pPr>
        <w:pStyle w:val="Times142"/>
        <w:ind w:firstLine="0"/>
      </w:pPr>
      <w:r w:rsidRPr="00041A79">
        <w:tab/>
        <w:t>3)Условия окружающей среды. Диапазон рабочих температур прибора — 5–40 °С, относительная влажность воздуха — не более 75%. </w:t>
      </w:r>
    </w:p>
    <w:p w14:paraId="792E44A8" w14:textId="6E470AC1" w:rsidR="00041A79" w:rsidRDefault="00041A79" w:rsidP="00041A79">
      <w:pPr>
        <w:pStyle w:val="Times142"/>
        <w:ind w:firstLine="0"/>
      </w:pPr>
      <w:r>
        <w:tab/>
      </w:r>
      <w:r w:rsidRPr="00030D38">
        <w:t>Станция подготовки образцов SORBIPREP® предназначена для дегазации образцов дисперсных и пористых материалов перед проведением измерений. Процесс дегазации заключается в контролируемом нагреве исследуемого образца в потоке инертного газа в течение заданного времени.</w:t>
      </w:r>
    </w:p>
    <w:p w14:paraId="6F7F6910" w14:textId="77777777" w:rsidR="00F30575" w:rsidRDefault="000902CC" w:rsidP="00F30575">
      <w:pPr>
        <w:pStyle w:val="Times142"/>
        <w:ind w:firstLine="0"/>
        <w:rPr>
          <w:szCs w:val="28"/>
        </w:rPr>
      </w:pPr>
      <w:r>
        <w:tab/>
      </w:r>
      <w:r w:rsidR="00F30575">
        <w:rPr>
          <w:szCs w:val="28"/>
        </w:rPr>
        <w:t xml:space="preserve">Состав газовой смеси, прошедшей через ампулу с пробой образца, регистрируется детектором, снабженным схемой управления и </w:t>
      </w:r>
      <w:proofErr w:type="spellStart"/>
      <w:r w:rsidR="00F30575">
        <w:rPr>
          <w:szCs w:val="28"/>
        </w:rPr>
        <w:t>термостабилизации</w:t>
      </w:r>
      <w:proofErr w:type="spellEnd"/>
      <w:r w:rsidR="00F30575">
        <w:rPr>
          <w:szCs w:val="28"/>
        </w:rPr>
        <w:t xml:space="preserve">. Схема управления и </w:t>
      </w:r>
      <w:proofErr w:type="spellStart"/>
      <w:r w:rsidR="00F30575">
        <w:rPr>
          <w:szCs w:val="28"/>
        </w:rPr>
        <w:t>термостабилизации</w:t>
      </w:r>
      <w:proofErr w:type="spellEnd"/>
      <w:r w:rsidR="00F30575">
        <w:rPr>
          <w:szCs w:val="28"/>
        </w:rPr>
        <w:t xml:space="preserve"> обеспечивает постоянную температуру нити датчика и формирует сигнал пропорциональный концентрации газа-адсорбата в газовой смеси. В качестве детектора состава газовой смеси используется датчик по теплопроводности. Зная количество газа, адсорбированного на единице массы контролируемых материалов, а также размеры молекул газа (размер молекулы азота равен 0,364 </w:t>
      </w:r>
      <w:proofErr w:type="spellStart"/>
      <w:r w:rsidR="00F30575">
        <w:rPr>
          <w:szCs w:val="28"/>
        </w:rPr>
        <w:t>нм</w:t>
      </w:r>
      <w:proofErr w:type="spellEnd"/>
      <w:r w:rsidR="00F30575">
        <w:rPr>
          <w:szCs w:val="28"/>
        </w:rPr>
        <w:t>), можно рассчитать объем адсорбированного газа.</w:t>
      </w:r>
    </w:p>
    <w:p w14:paraId="504603EA" w14:textId="291102AC" w:rsidR="000902CC" w:rsidRPr="00B0658C" w:rsidRDefault="00B0658C" w:rsidP="00B0658C">
      <w:pPr>
        <w:spacing w:after="160" w:line="259" w:lineRule="auto"/>
        <w:rPr>
          <w:rFonts w:eastAsia="Times New Roman"/>
          <w:lang w:eastAsia="ru-RU"/>
        </w:rPr>
      </w:pPr>
      <w:r>
        <w:br w:type="page"/>
      </w:r>
    </w:p>
    <w:p w14:paraId="7CE4C8A0" w14:textId="6C521162" w:rsidR="00F30575" w:rsidRDefault="00F30575" w:rsidP="00041A79">
      <w:pPr>
        <w:pStyle w:val="Times142"/>
        <w:ind w:firstLine="0"/>
        <w:rPr>
          <w:b/>
          <w:bCs/>
        </w:rPr>
      </w:pPr>
      <w:r>
        <w:lastRenderedPageBreak/>
        <w:tab/>
      </w:r>
      <w:r>
        <w:rPr>
          <w:b/>
          <w:bCs/>
        </w:rPr>
        <w:t>Обработка результатов эксперимента.</w:t>
      </w:r>
    </w:p>
    <w:p w14:paraId="0CA05216" w14:textId="296C8E34" w:rsidR="00B0658C" w:rsidRDefault="00B0658C" w:rsidP="00B0658C">
      <w:pPr>
        <w:pStyle w:val="Times142"/>
      </w:pPr>
      <w:r>
        <w:t>Результаты, полученные по итогам выполнения лабораторной работы, представлены в таблице 1.</w:t>
      </w:r>
    </w:p>
    <w:p w14:paraId="44982F1E" w14:textId="528F00AA" w:rsidR="00B0658C" w:rsidRDefault="00B0658C" w:rsidP="00A11FDE">
      <w:pPr>
        <w:pStyle w:val="Times142"/>
        <w:jc w:val="left"/>
        <w:rPr>
          <w:sz w:val="24"/>
        </w:rPr>
      </w:pPr>
      <w:r>
        <w:rPr>
          <w:sz w:val="24"/>
        </w:rPr>
        <w:t>Таблица 1 – Экспериментальные данные</w:t>
      </w:r>
    </w:p>
    <w:tbl>
      <w:tblPr>
        <w:tblW w:w="5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3"/>
        <w:gridCol w:w="1573"/>
        <w:gridCol w:w="2065"/>
      </w:tblGrid>
      <w:tr w:rsidR="00B0658C" w:rsidRPr="00B0658C" w14:paraId="677BF12B" w14:textId="77777777" w:rsidTr="00A11FDE">
        <w:trPr>
          <w:trHeight w:val="463"/>
        </w:trPr>
        <w:tc>
          <w:tcPr>
            <w:tcW w:w="1573" w:type="dxa"/>
            <w:shd w:val="clear" w:color="auto" w:fill="auto"/>
            <w:noWrap/>
            <w:vAlign w:val="center"/>
            <w:hideMark/>
          </w:tcPr>
          <w:p w14:paraId="5A829C39" w14:textId="45E0346F" w:rsidR="00B0658C" w:rsidRPr="00B0658C" w:rsidRDefault="00B0658C" w:rsidP="00B0658C">
            <w:pPr>
              <w:spacing w:after="0" w:line="240" w:lineRule="auto"/>
              <w:jc w:val="center"/>
              <w:rPr>
                <w:rFonts w:eastAsia="Times New Roman"/>
                <w:color w:val="000000"/>
                <w:szCs w:val="22"/>
                <w:lang w:eastAsia="ru-RU"/>
              </w:rPr>
            </w:pPr>
            <m:oMathPara>
              <m:oMath>
                <m:r>
                  <w:rPr>
                    <w:rFonts w:ascii="Cambria Math" w:eastAsia="Times New Roman" w:hAnsi="Cambria Math"/>
                    <w:color w:val="000000"/>
                    <w:szCs w:val="22"/>
                    <w:lang w:eastAsia="ru-RU"/>
                  </w:rPr>
                  <m:t>h=</m:t>
                </m:r>
                <m:f>
                  <m:fPr>
                    <m:type m:val="lin"/>
                    <m:ctrlPr>
                      <w:rPr>
                        <w:rFonts w:ascii="Cambria Math" w:eastAsia="Times New Roman" w:hAnsi="Cambria Math"/>
                        <w:i/>
                        <w:color w:val="000000"/>
                        <w:szCs w:val="22"/>
                        <w:lang w:eastAsia="ru-RU"/>
                      </w:rPr>
                    </m:ctrlPr>
                  </m:fPr>
                  <m:num>
                    <m:r>
                      <w:rPr>
                        <w:rFonts w:ascii="Cambria Math" w:eastAsia="Times New Roman" w:hAnsi="Cambria Math"/>
                        <w:color w:val="000000"/>
                        <w:szCs w:val="22"/>
                        <w:lang w:eastAsia="ru-RU"/>
                      </w:rPr>
                      <m:t>P</m:t>
                    </m:r>
                  </m:num>
                  <m:den>
                    <m:sSub>
                      <m:sSubPr>
                        <m:ctrlPr>
                          <w:rPr>
                            <w:rFonts w:ascii="Cambria Math" w:eastAsia="Times New Roman" w:hAnsi="Cambria Math"/>
                            <w:i/>
                            <w:color w:val="000000"/>
                            <w:szCs w:val="22"/>
                            <w:lang w:eastAsia="ru-RU"/>
                          </w:rPr>
                        </m:ctrlPr>
                      </m:sSubPr>
                      <m:e>
                        <m:r>
                          <w:rPr>
                            <w:rFonts w:ascii="Cambria Math" w:eastAsia="Times New Roman" w:hAnsi="Cambria Math"/>
                            <w:color w:val="000000"/>
                            <w:szCs w:val="22"/>
                            <w:lang w:eastAsia="ru-RU"/>
                          </w:rPr>
                          <m:t>P</m:t>
                        </m:r>
                      </m:e>
                      <m:sub>
                        <m:r>
                          <w:rPr>
                            <w:rFonts w:ascii="Cambria Math" w:eastAsia="Times New Roman" w:hAnsi="Cambria Math"/>
                            <w:color w:val="000000"/>
                            <w:szCs w:val="22"/>
                            <w:lang w:eastAsia="ru-RU"/>
                          </w:rPr>
                          <m:t>0</m:t>
                        </m:r>
                      </m:sub>
                    </m:sSub>
                  </m:den>
                </m:f>
              </m:oMath>
            </m:oMathPara>
          </w:p>
        </w:tc>
        <w:tc>
          <w:tcPr>
            <w:tcW w:w="1573" w:type="dxa"/>
            <w:shd w:val="clear" w:color="auto" w:fill="auto"/>
            <w:noWrap/>
            <w:vAlign w:val="center"/>
            <w:hideMark/>
          </w:tcPr>
          <w:p w14:paraId="5FB02E71" w14:textId="3094321C" w:rsidR="00B0658C" w:rsidRPr="00B0658C" w:rsidRDefault="00B0658C" w:rsidP="005F0F67">
            <w:pPr>
              <w:spacing w:after="0" w:line="240" w:lineRule="auto"/>
              <w:jc w:val="center"/>
              <w:rPr>
                <w:rFonts w:eastAsia="Times New Roman"/>
                <w:color w:val="000000"/>
                <w:szCs w:val="22"/>
                <w:lang w:eastAsia="ru-RU"/>
              </w:rPr>
            </w:pPr>
            <m:oMathPara>
              <m:oMath>
                <m:r>
                  <w:rPr>
                    <w:rFonts w:ascii="Cambria Math" w:eastAsia="Times New Roman" w:hAnsi="Cambria Math"/>
                    <w:color w:val="000000"/>
                    <w:szCs w:val="22"/>
                    <w:lang w:eastAsia="ru-RU"/>
                  </w:rPr>
                  <m:t xml:space="preserve">V, </m:t>
                </m:r>
                <m:sSup>
                  <m:sSupPr>
                    <m:ctrlPr>
                      <w:rPr>
                        <w:rFonts w:ascii="Cambria Math" w:eastAsia="Times New Roman" w:hAnsi="Cambria Math"/>
                        <w:i/>
                        <w:color w:val="000000"/>
                        <w:szCs w:val="22"/>
                        <w:lang w:eastAsia="ru-RU"/>
                      </w:rPr>
                    </m:ctrlPr>
                  </m:sSupPr>
                  <m:e>
                    <m:r>
                      <w:rPr>
                        <w:rFonts w:ascii="Cambria Math" w:eastAsia="Times New Roman" w:hAnsi="Cambria Math"/>
                        <w:color w:val="000000"/>
                        <w:szCs w:val="22"/>
                        <w:lang w:eastAsia="ru-RU"/>
                      </w:rPr>
                      <m:t>см</m:t>
                    </m:r>
                  </m:e>
                  <m:sup>
                    <m:r>
                      <w:rPr>
                        <w:rFonts w:ascii="Cambria Math" w:eastAsia="Times New Roman" w:hAnsi="Cambria Math"/>
                        <w:color w:val="000000"/>
                        <w:szCs w:val="22"/>
                        <w:lang w:eastAsia="ru-RU"/>
                      </w:rPr>
                      <m:t>3</m:t>
                    </m:r>
                  </m:sup>
                </m:sSup>
                <m:r>
                  <w:rPr>
                    <w:rFonts w:ascii="Cambria Math" w:eastAsia="Times New Roman" w:hAnsi="Cambria Math"/>
                    <w:color w:val="000000"/>
                    <w:szCs w:val="22"/>
                    <w:lang w:eastAsia="ru-RU"/>
                  </w:rPr>
                  <m:t>/г</m:t>
                </m:r>
              </m:oMath>
            </m:oMathPara>
          </w:p>
        </w:tc>
        <w:tc>
          <w:tcPr>
            <w:tcW w:w="2065" w:type="dxa"/>
            <w:shd w:val="clear" w:color="auto" w:fill="auto"/>
            <w:noWrap/>
            <w:vAlign w:val="center"/>
            <w:hideMark/>
          </w:tcPr>
          <w:p w14:paraId="12EC8C66" w14:textId="42D7CED8" w:rsidR="00A5415F" w:rsidRPr="00A5415F" w:rsidRDefault="00A11FDE" w:rsidP="00B0658C">
            <w:pPr>
              <w:spacing w:after="0" w:line="240" w:lineRule="auto"/>
              <w:jc w:val="center"/>
              <w:rPr>
                <w:rFonts w:eastAsia="Times New Roman"/>
                <w:color w:val="000000"/>
                <w:szCs w:val="22"/>
                <w:lang w:eastAsia="ru-RU"/>
              </w:rPr>
            </w:pPr>
            <m:oMathPara>
              <m:oMath>
                <m:r>
                  <w:rPr>
                    <w:rFonts w:ascii="Cambria Math" w:eastAsia="Times New Roman" w:hAnsi="Cambria Math"/>
                    <w:color w:val="000000"/>
                    <w:szCs w:val="22"/>
                    <w:lang w:eastAsia="ru-RU"/>
                  </w:rPr>
                  <m:t>A=</m:t>
                </m:r>
                <m:f>
                  <m:fPr>
                    <m:ctrlPr>
                      <w:rPr>
                        <w:rFonts w:ascii="Cambria Math" w:eastAsia="Times New Roman" w:hAnsi="Cambria Math"/>
                        <w:i/>
                        <w:color w:val="000000"/>
                        <w:szCs w:val="22"/>
                        <w:lang w:eastAsia="ru-RU"/>
                      </w:rPr>
                    </m:ctrlPr>
                  </m:fPr>
                  <m:num>
                    <m:r>
                      <w:rPr>
                        <w:rFonts w:ascii="Cambria Math" w:eastAsia="Times New Roman" w:hAnsi="Cambria Math"/>
                        <w:color w:val="000000"/>
                        <w:szCs w:val="22"/>
                        <w:lang w:val="en-US" w:eastAsia="ru-RU"/>
                      </w:rPr>
                      <m:t>h</m:t>
                    </m:r>
                  </m:num>
                  <m:den>
                    <m:r>
                      <w:rPr>
                        <w:rFonts w:ascii="Cambria Math" w:eastAsia="Times New Roman" w:hAnsi="Cambria Math"/>
                        <w:color w:val="000000"/>
                        <w:szCs w:val="22"/>
                        <w:lang w:eastAsia="ru-RU"/>
                      </w:rPr>
                      <m:t>V</m:t>
                    </m:r>
                    <m:d>
                      <m:dPr>
                        <m:ctrlPr>
                          <w:rPr>
                            <w:rFonts w:ascii="Cambria Math" w:eastAsia="Times New Roman" w:hAnsi="Cambria Math"/>
                            <w:i/>
                            <w:color w:val="000000"/>
                            <w:szCs w:val="22"/>
                            <w:lang w:eastAsia="ru-RU"/>
                          </w:rPr>
                        </m:ctrlPr>
                      </m:dPr>
                      <m:e>
                        <m:r>
                          <w:rPr>
                            <w:rFonts w:ascii="Cambria Math" w:eastAsia="Times New Roman" w:hAnsi="Cambria Math"/>
                            <w:color w:val="000000"/>
                            <w:szCs w:val="22"/>
                            <w:lang w:eastAsia="ru-RU"/>
                          </w:rPr>
                          <m:t>1-</m:t>
                        </m:r>
                        <m:r>
                          <w:rPr>
                            <w:rFonts w:ascii="Cambria Math" w:eastAsia="Times New Roman" w:hAnsi="Cambria Math"/>
                            <w:color w:val="000000"/>
                            <w:szCs w:val="22"/>
                            <w:lang w:eastAsia="ru-RU"/>
                          </w:rPr>
                          <m:t>h</m:t>
                        </m:r>
                      </m:e>
                    </m:d>
                  </m:den>
                </m:f>
                <m:r>
                  <w:rPr>
                    <w:rFonts w:ascii="Cambria Math" w:eastAsia="Times New Roman" w:hAnsi="Cambria Math"/>
                    <w:color w:val="000000"/>
                    <w:szCs w:val="22"/>
                    <w:lang w:eastAsia="ru-RU"/>
                  </w:rPr>
                  <m:t xml:space="preserve">, </m:t>
                </m:r>
              </m:oMath>
            </m:oMathPara>
          </w:p>
          <w:p w14:paraId="04F288EF" w14:textId="17D2E0DA" w:rsidR="00B0658C" w:rsidRPr="00B0658C" w:rsidRDefault="00A5415F" w:rsidP="00B0658C">
            <w:pPr>
              <w:spacing w:after="0" w:line="240" w:lineRule="auto"/>
              <w:jc w:val="center"/>
              <w:rPr>
                <w:rFonts w:eastAsia="Times New Roman"/>
                <w:i/>
                <w:color w:val="000000"/>
                <w:szCs w:val="22"/>
                <w:lang w:eastAsia="ru-RU"/>
              </w:rPr>
            </w:pPr>
            <m:oMathPara>
              <m:oMath>
                <m:r>
                  <w:rPr>
                    <w:rFonts w:ascii="Cambria Math" w:eastAsia="Times New Roman" w:hAnsi="Cambria Math"/>
                    <w:color w:val="000000"/>
                    <w:szCs w:val="22"/>
                    <w:lang w:eastAsia="ru-RU"/>
                  </w:rPr>
                  <m:t>г/</m:t>
                </m:r>
                <m:sSup>
                  <m:sSupPr>
                    <m:ctrlPr>
                      <w:rPr>
                        <w:rFonts w:ascii="Cambria Math" w:eastAsia="Times New Roman" w:hAnsi="Cambria Math"/>
                        <w:i/>
                        <w:color w:val="000000"/>
                        <w:szCs w:val="22"/>
                        <w:lang w:eastAsia="ru-RU"/>
                      </w:rPr>
                    </m:ctrlPr>
                  </m:sSupPr>
                  <m:e>
                    <m:r>
                      <w:rPr>
                        <w:rFonts w:ascii="Cambria Math" w:eastAsia="Times New Roman" w:hAnsi="Cambria Math"/>
                        <w:color w:val="000000"/>
                        <w:szCs w:val="22"/>
                        <w:lang w:eastAsia="ru-RU"/>
                      </w:rPr>
                      <m:t>см</m:t>
                    </m:r>
                  </m:e>
                  <m:sup>
                    <m:r>
                      <w:rPr>
                        <w:rFonts w:ascii="Cambria Math" w:eastAsia="Times New Roman" w:hAnsi="Cambria Math"/>
                        <w:color w:val="000000"/>
                        <w:szCs w:val="22"/>
                        <w:lang w:eastAsia="ru-RU"/>
                      </w:rPr>
                      <m:t>3</m:t>
                    </m:r>
                  </m:sup>
                </m:sSup>
              </m:oMath>
            </m:oMathPara>
          </w:p>
        </w:tc>
      </w:tr>
      <w:tr w:rsidR="00B0658C" w:rsidRPr="00B0658C" w14:paraId="0F89E38D" w14:textId="77777777" w:rsidTr="00A11FDE">
        <w:trPr>
          <w:trHeight w:val="463"/>
        </w:trPr>
        <w:tc>
          <w:tcPr>
            <w:tcW w:w="1573" w:type="dxa"/>
            <w:shd w:val="clear" w:color="auto" w:fill="auto"/>
            <w:noWrap/>
            <w:vAlign w:val="center"/>
            <w:hideMark/>
          </w:tcPr>
          <w:p w14:paraId="18DFEF3E" w14:textId="77777777" w:rsidR="00B0658C" w:rsidRPr="00B0658C" w:rsidRDefault="00B0658C" w:rsidP="00B0658C">
            <w:pPr>
              <w:spacing w:after="0" w:line="240" w:lineRule="auto"/>
              <w:jc w:val="center"/>
              <w:rPr>
                <w:rFonts w:eastAsia="Times New Roman"/>
                <w:color w:val="000000"/>
                <w:szCs w:val="22"/>
                <w:lang w:eastAsia="ru-RU"/>
              </w:rPr>
            </w:pPr>
            <w:r w:rsidRPr="00B0658C">
              <w:rPr>
                <w:rFonts w:eastAsia="Times New Roman"/>
                <w:color w:val="000000"/>
                <w:szCs w:val="22"/>
                <w:lang w:eastAsia="ru-RU"/>
              </w:rPr>
              <w:t>0,06</w:t>
            </w:r>
          </w:p>
        </w:tc>
        <w:tc>
          <w:tcPr>
            <w:tcW w:w="1573" w:type="dxa"/>
            <w:shd w:val="clear" w:color="auto" w:fill="auto"/>
            <w:noWrap/>
            <w:vAlign w:val="center"/>
            <w:hideMark/>
          </w:tcPr>
          <w:p w14:paraId="61E9D139" w14:textId="77777777" w:rsidR="00B0658C" w:rsidRPr="00B0658C" w:rsidRDefault="00B0658C" w:rsidP="00B0658C">
            <w:pPr>
              <w:spacing w:after="0" w:line="240" w:lineRule="auto"/>
              <w:jc w:val="center"/>
              <w:rPr>
                <w:rFonts w:eastAsia="Times New Roman"/>
                <w:color w:val="000000"/>
                <w:szCs w:val="22"/>
                <w:lang w:eastAsia="ru-RU"/>
              </w:rPr>
            </w:pPr>
            <w:r w:rsidRPr="00B0658C">
              <w:rPr>
                <w:rFonts w:eastAsia="Times New Roman"/>
                <w:color w:val="000000"/>
                <w:szCs w:val="22"/>
                <w:lang w:eastAsia="ru-RU"/>
              </w:rPr>
              <w:t>10,58</w:t>
            </w:r>
          </w:p>
        </w:tc>
        <w:tc>
          <w:tcPr>
            <w:tcW w:w="2065" w:type="dxa"/>
            <w:shd w:val="clear" w:color="auto" w:fill="auto"/>
            <w:noWrap/>
            <w:vAlign w:val="center"/>
            <w:hideMark/>
          </w:tcPr>
          <w:p w14:paraId="620C5E48" w14:textId="77777777" w:rsidR="00B0658C" w:rsidRPr="00B0658C" w:rsidRDefault="00B0658C" w:rsidP="00B0658C">
            <w:pPr>
              <w:spacing w:after="0" w:line="240" w:lineRule="auto"/>
              <w:jc w:val="center"/>
              <w:rPr>
                <w:rFonts w:eastAsia="Times New Roman"/>
                <w:color w:val="000000"/>
                <w:szCs w:val="22"/>
                <w:lang w:eastAsia="ru-RU"/>
              </w:rPr>
            </w:pPr>
            <w:r w:rsidRPr="00B0658C">
              <w:rPr>
                <w:rFonts w:eastAsia="Times New Roman"/>
                <w:color w:val="000000"/>
                <w:szCs w:val="22"/>
                <w:lang w:eastAsia="ru-RU"/>
              </w:rPr>
              <w:t>0,006033</w:t>
            </w:r>
          </w:p>
        </w:tc>
      </w:tr>
      <w:tr w:rsidR="00B0658C" w:rsidRPr="00B0658C" w14:paraId="3BB6B1B6" w14:textId="77777777" w:rsidTr="00A11FDE">
        <w:trPr>
          <w:trHeight w:val="463"/>
        </w:trPr>
        <w:tc>
          <w:tcPr>
            <w:tcW w:w="1573" w:type="dxa"/>
            <w:shd w:val="clear" w:color="auto" w:fill="auto"/>
            <w:noWrap/>
            <w:vAlign w:val="center"/>
            <w:hideMark/>
          </w:tcPr>
          <w:p w14:paraId="37EB4136" w14:textId="77777777" w:rsidR="00B0658C" w:rsidRPr="00B0658C" w:rsidRDefault="00B0658C" w:rsidP="00B0658C">
            <w:pPr>
              <w:spacing w:after="0" w:line="240" w:lineRule="auto"/>
              <w:jc w:val="center"/>
              <w:rPr>
                <w:rFonts w:eastAsia="Times New Roman"/>
                <w:color w:val="000000"/>
                <w:szCs w:val="22"/>
                <w:lang w:eastAsia="ru-RU"/>
              </w:rPr>
            </w:pPr>
            <w:r w:rsidRPr="00B0658C">
              <w:rPr>
                <w:rFonts w:eastAsia="Times New Roman"/>
                <w:color w:val="000000"/>
                <w:szCs w:val="22"/>
                <w:lang w:eastAsia="ru-RU"/>
              </w:rPr>
              <w:t>0,09</w:t>
            </w:r>
          </w:p>
        </w:tc>
        <w:tc>
          <w:tcPr>
            <w:tcW w:w="1573" w:type="dxa"/>
            <w:shd w:val="clear" w:color="auto" w:fill="auto"/>
            <w:noWrap/>
            <w:vAlign w:val="center"/>
            <w:hideMark/>
          </w:tcPr>
          <w:p w14:paraId="573175CE" w14:textId="77777777" w:rsidR="00B0658C" w:rsidRPr="00B0658C" w:rsidRDefault="00B0658C" w:rsidP="00B0658C">
            <w:pPr>
              <w:spacing w:after="0" w:line="240" w:lineRule="auto"/>
              <w:jc w:val="center"/>
              <w:rPr>
                <w:rFonts w:eastAsia="Times New Roman"/>
                <w:color w:val="000000"/>
                <w:szCs w:val="22"/>
                <w:lang w:eastAsia="ru-RU"/>
              </w:rPr>
            </w:pPr>
            <w:r w:rsidRPr="00B0658C">
              <w:rPr>
                <w:rFonts w:eastAsia="Times New Roman"/>
                <w:color w:val="000000"/>
                <w:szCs w:val="22"/>
                <w:lang w:eastAsia="ru-RU"/>
              </w:rPr>
              <w:t>12,25</w:t>
            </w:r>
          </w:p>
        </w:tc>
        <w:tc>
          <w:tcPr>
            <w:tcW w:w="2065" w:type="dxa"/>
            <w:shd w:val="clear" w:color="auto" w:fill="auto"/>
            <w:noWrap/>
            <w:vAlign w:val="center"/>
            <w:hideMark/>
          </w:tcPr>
          <w:p w14:paraId="1F813ABA" w14:textId="77777777" w:rsidR="00B0658C" w:rsidRPr="00B0658C" w:rsidRDefault="00B0658C" w:rsidP="00B0658C">
            <w:pPr>
              <w:spacing w:after="0" w:line="240" w:lineRule="auto"/>
              <w:jc w:val="center"/>
              <w:rPr>
                <w:rFonts w:eastAsia="Times New Roman"/>
                <w:color w:val="000000"/>
                <w:szCs w:val="22"/>
                <w:lang w:eastAsia="ru-RU"/>
              </w:rPr>
            </w:pPr>
            <w:r w:rsidRPr="00B0658C">
              <w:rPr>
                <w:rFonts w:eastAsia="Times New Roman"/>
                <w:color w:val="000000"/>
                <w:szCs w:val="22"/>
                <w:lang w:eastAsia="ru-RU"/>
              </w:rPr>
              <w:t>0,008074</w:t>
            </w:r>
          </w:p>
        </w:tc>
      </w:tr>
      <w:tr w:rsidR="00B0658C" w:rsidRPr="00B0658C" w14:paraId="048CCE9A" w14:textId="77777777" w:rsidTr="00A11FDE">
        <w:trPr>
          <w:trHeight w:val="463"/>
        </w:trPr>
        <w:tc>
          <w:tcPr>
            <w:tcW w:w="1573" w:type="dxa"/>
            <w:shd w:val="clear" w:color="auto" w:fill="auto"/>
            <w:noWrap/>
            <w:vAlign w:val="center"/>
            <w:hideMark/>
          </w:tcPr>
          <w:p w14:paraId="6ACC592C" w14:textId="77777777" w:rsidR="00B0658C" w:rsidRPr="00B0658C" w:rsidRDefault="00B0658C" w:rsidP="00B0658C">
            <w:pPr>
              <w:spacing w:after="0" w:line="240" w:lineRule="auto"/>
              <w:jc w:val="center"/>
              <w:rPr>
                <w:rFonts w:eastAsia="Times New Roman"/>
                <w:color w:val="000000"/>
                <w:szCs w:val="22"/>
                <w:lang w:eastAsia="ru-RU"/>
              </w:rPr>
            </w:pPr>
            <w:r w:rsidRPr="00B0658C">
              <w:rPr>
                <w:rFonts w:eastAsia="Times New Roman"/>
                <w:color w:val="000000"/>
                <w:szCs w:val="22"/>
                <w:lang w:eastAsia="ru-RU"/>
              </w:rPr>
              <w:t>0,15</w:t>
            </w:r>
          </w:p>
        </w:tc>
        <w:tc>
          <w:tcPr>
            <w:tcW w:w="1573" w:type="dxa"/>
            <w:shd w:val="clear" w:color="auto" w:fill="auto"/>
            <w:noWrap/>
            <w:vAlign w:val="center"/>
            <w:hideMark/>
          </w:tcPr>
          <w:p w14:paraId="3C85E6D1" w14:textId="77777777" w:rsidR="00B0658C" w:rsidRPr="00B0658C" w:rsidRDefault="00B0658C" w:rsidP="00B0658C">
            <w:pPr>
              <w:spacing w:after="0" w:line="240" w:lineRule="auto"/>
              <w:jc w:val="center"/>
              <w:rPr>
                <w:rFonts w:eastAsia="Times New Roman"/>
                <w:color w:val="000000"/>
                <w:szCs w:val="22"/>
                <w:lang w:eastAsia="ru-RU"/>
              </w:rPr>
            </w:pPr>
            <w:r w:rsidRPr="00B0658C">
              <w:rPr>
                <w:rFonts w:eastAsia="Times New Roman"/>
                <w:color w:val="000000"/>
                <w:szCs w:val="22"/>
                <w:lang w:eastAsia="ru-RU"/>
              </w:rPr>
              <w:t>14,44</w:t>
            </w:r>
          </w:p>
        </w:tc>
        <w:tc>
          <w:tcPr>
            <w:tcW w:w="2065" w:type="dxa"/>
            <w:shd w:val="clear" w:color="auto" w:fill="auto"/>
            <w:noWrap/>
            <w:vAlign w:val="center"/>
            <w:hideMark/>
          </w:tcPr>
          <w:p w14:paraId="77F4C740" w14:textId="77777777" w:rsidR="00B0658C" w:rsidRPr="00B0658C" w:rsidRDefault="00B0658C" w:rsidP="00B0658C">
            <w:pPr>
              <w:spacing w:after="0" w:line="240" w:lineRule="auto"/>
              <w:jc w:val="center"/>
              <w:rPr>
                <w:rFonts w:eastAsia="Times New Roman"/>
                <w:color w:val="000000"/>
                <w:szCs w:val="22"/>
                <w:lang w:eastAsia="ru-RU"/>
              </w:rPr>
            </w:pPr>
            <w:r w:rsidRPr="00B0658C">
              <w:rPr>
                <w:rFonts w:eastAsia="Times New Roman"/>
                <w:color w:val="000000"/>
                <w:szCs w:val="22"/>
                <w:lang w:eastAsia="ru-RU"/>
              </w:rPr>
              <w:t>0,012221</w:t>
            </w:r>
          </w:p>
        </w:tc>
      </w:tr>
      <w:tr w:rsidR="00B0658C" w:rsidRPr="00B0658C" w14:paraId="190F8B1A" w14:textId="77777777" w:rsidTr="00A11FDE">
        <w:trPr>
          <w:trHeight w:val="463"/>
        </w:trPr>
        <w:tc>
          <w:tcPr>
            <w:tcW w:w="1573" w:type="dxa"/>
            <w:shd w:val="clear" w:color="auto" w:fill="auto"/>
            <w:noWrap/>
            <w:vAlign w:val="center"/>
            <w:hideMark/>
          </w:tcPr>
          <w:p w14:paraId="28DE903C" w14:textId="77777777" w:rsidR="00B0658C" w:rsidRPr="00B0658C" w:rsidRDefault="00B0658C" w:rsidP="00B0658C">
            <w:pPr>
              <w:spacing w:after="0" w:line="240" w:lineRule="auto"/>
              <w:jc w:val="center"/>
              <w:rPr>
                <w:rFonts w:eastAsia="Times New Roman"/>
                <w:color w:val="000000"/>
                <w:szCs w:val="22"/>
                <w:lang w:eastAsia="ru-RU"/>
              </w:rPr>
            </w:pPr>
            <w:r w:rsidRPr="00B0658C">
              <w:rPr>
                <w:rFonts w:eastAsia="Times New Roman"/>
                <w:color w:val="000000"/>
                <w:szCs w:val="22"/>
                <w:lang w:eastAsia="ru-RU"/>
              </w:rPr>
              <w:t>0,2</w:t>
            </w:r>
          </w:p>
        </w:tc>
        <w:tc>
          <w:tcPr>
            <w:tcW w:w="1573" w:type="dxa"/>
            <w:shd w:val="clear" w:color="auto" w:fill="auto"/>
            <w:noWrap/>
            <w:vAlign w:val="center"/>
            <w:hideMark/>
          </w:tcPr>
          <w:p w14:paraId="7D5020AA" w14:textId="77777777" w:rsidR="00B0658C" w:rsidRPr="00B0658C" w:rsidRDefault="00B0658C" w:rsidP="00B0658C">
            <w:pPr>
              <w:spacing w:after="0" w:line="240" w:lineRule="auto"/>
              <w:jc w:val="center"/>
              <w:rPr>
                <w:rFonts w:eastAsia="Times New Roman"/>
                <w:color w:val="000000"/>
                <w:szCs w:val="22"/>
                <w:lang w:eastAsia="ru-RU"/>
              </w:rPr>
            </w:pPr>
            <w:r w:rsidRPr="00B0658C">
              <w:rPr>
                <w:rFonts w:eastAsia="Times New Roman"/>
                <w:color w:val="000000"/>
                <w:szCs w:val="22"/>
                <w:lang w:eastAsia="ru-RU"/>
              </w:rPr>
              <w:t>15,44</w:t>
            </w:r>
          </w:p>
        </w:tc>
        <w:tc>
          <w:tcPr>
            <w:tcW w:w="2065" w:type="dxa"/>
            <w:shd w:val="clear" w:color="auto" w:fill="auto"/>
            <w:noWrap/>
            <w:vAlign w:val="center"/>
            <w:hideMark/>
          </w:tcPr>
          <w:p w14:paraId="060215EB" w14:textId="77777777" w:rsidR="00B0658C" w:rsidRPr="00B0658C" w:rsidRDefault="00B0658C" w:rsidP="00B0658C">
            <w:pPr>
              <w:spacing w:after="0" w:line="240" w:lineRule="auto"/>
              <w:jc w:val="center"/>
              <w:rPr>
                <w:rFonts w:eastAsia="Times New Roman"/>
                <w:color w:val="000000"/>
                <w:szCs w:val="22"/>
                <w:lang w:eastAsia="ru-RU"/>
              </w:rPr>
            </w:pPr>
            <w:r w:rsidRPr="00B0658C">
              <w:rPr>
                <w:rFonts w:eastAsia="Times New Roman"/>
                <w:color w:val="000000"/>
                <w:szCs w:val="22"/>
                <w:lang w:eastAsia="ru-RU"/>
              </w:rPr>
              <w:t>0,016192</w:t>
            </w:r>
          </w:p>
        </w:tc>
      </w:tr>
    </w:tbl>
    <w:p w14:paraId="5319595E" w14:textId="77777777" w:rsidR="00B0658C" w:rsidRDefault="00B0658C" w:rsidP="00B0658C">
      <w:pPr>
        <w:pStyle w:val="Times142"/>
      </w:pPr>
    </w:p>
    <w:p w14:paraId="780B2279" w14:textId="1F9D96B6" w:rsidR="005F0F67" w:rsidRDefault="005F0F67" w:rsidP="00B0658C">
      <w:pPr>
        <w:pStyle w:val="Times142"/>
      </w:pPr>
      <w:r>
        <w:t>На основе табличных данных построим график БЭТ</w:t>
      </w:r>
    </w:p>
    <w:p w14:paraId="7C4D1C62" w14:textId="77777777" w:rsidR="00A5415F" w:rsidRDefault="00A5415F" w:rsidP="00A11FDE">
      <w:pPr>
        <w:pStyle w:val="Times142"/>
        <w:keepNext/>
        <w:jc w:val="center"/>
      </w:pPr>
      <w:r>
        <w:rPr>
          <w:noProof/>
        </w:rPr>
        <w:drawing>
          <wp:inline distT="0" distB="0" distL="0" distR="0" wp14:anchorId="08C877DB" wp14:editId="4278B55F">
            <wp:extent cx="5332021" cy="3431969"/>
            <wp:effectExtent l="0" t="0" r="2540" b="1651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A3CE185" w14:textId="008C4F11" w:rsidR="00A5415F" w:rsidRDefault="00A5415F" w:rsidP="00A5415F">
      <w:pPr>
        <w:pStyle w:val="a4"/>
        <w:jc w:val="center"/>
      </w:pPr>
      <w:r>
        <w:t xml:space="preserve">Рисунок </w:t>
      </w:r>
      <w:r w:rsidR="007F5AB2">
        <w:fldChar w:fldCharType="begin"/>
      </w:r>
      <w:r w:rsidR="007F5AB2">
        <w:instrText xml:space="preserve"> SEQ Рисунок \* ARABIC </w:instrText>
      </w:r>
      <w:r w:rsidR="007F5AB2">
        <w:fldChar w:fldCharType="separate"/>
      </w:r>
      <w:r w:rsidR="002B6F2B">
        <w:rPr>
          <w:noProof/>
        </w:rPr>
        <w:t>3</w:t>
      </w:r>
      <w:r w:rsidR="007F5AB2">
        <w:rPr>
          <w:noProof/>
        </w:rPr>
        <w:fldChar w:fldCharType="end"/>
      </w:r>
      <w:r>
        <w:t xml:space="preserve"> – Экспериментальный график БЭТ</w:t>
      </w:r>
    </w:p>
    <w:p w14:paraId="65B1F699" w14:textId="22220875" w:rsidR="00A5415F" w:rsidRPr="00A5415F" w:rsidRDefault="00A5415F" w:rsidP="00A5415F">
      <w:pPr>
        <w:pStyle w:val="Times142"/>
      </w:pPr>
      <w:r>
        <w:t xml:space="preserve">Найдем величину тангенса угла наклона прямой </w:t>
      </w:r>
      <w:r>
        <w:rPr>
          <w:lang w:val="en-US"/>
        </w:rPr>
        <w:t>M</w:t>
      </w:r>
      <w:r w:rsidRPr="00A5415F">
        <w:t xml:space="preserve"> </w:t>
      </w:r>
      <w:r>
        <w:t xml:space="preserve">и отрезок </w:t>
      </w:r>
      <w:r>
        <w:rPr>
          <w:lang w:val="en-US"/>
        </w:rPr>
        <w:t>B</w:t>
      </w:r>
      <w:r>
        <w:t xml:space="preserve"> отсекаемый ею на оси ординат:</w:t>
      </w:r>
    </w:p>
    <w:p w14:paraId="2CA776E0" w14:textId="26E1174A" w:rsidR="00A5415F" w:rsidRPr="00A5415F" w:rsidRDefault="00A5415F" w:rsidP="00A5415F">
      <w:pPr>
        <w:pStyle w:val="Times142"/>
        <w:rPr>
          <w:color w:val="000000"/>
          <w:szCs w:val="22"/>
        </w:rPr>
      </w:pPr>
      <m:oMathPara>
        <m:oMath>
          <m:r>
            <w:rPr>
              <w:rFonts w:ascii="Cambria Math" w:hAnsi="Cambria Math"/>
              <w:lang w:val="en-US"/>
            </w:rPr>
            <m:t>M=</m:t>
          </m:r>
          <m:f>
            <m:fPr>
              <m:ctrlPr>
                <w:rPr>
                  <w:rFonts w:ascii="Cambria Math" w:hAnsi="Cambria Math"/>
                  <w:i/>
                  <w:lang w:val="en-US"/>
                </w:rPr>
              </m:ctrlPr>
            </m:fPr>
            <m:num>
              <m:r>
                <m:rPr>
                  <m:sty m:val="p"/>
                </m:rPr>
                <w:rPr>
                  <w:rFonts w:ascii="Cambria Math" w:hAnsi="Cambria Math"/>
                  <w:color w:val="000000"/>
                  <w:szCs w:val="22"/>
                </w:rPr>
                <m:t>0,016192</m:t>
              </m:r>
              <m:r>
                <m:rPr>
                  <m:sty m:val="p"/>
                </m:rPr>
                <w:rPr>
                  <w:rFonts w:ascii="Cambria Math"/>
                  <w:color w:val="000000"/>
                  <w:szCs w:val="22"/>
                </w:rPr>
                <m:t>-</m:t>
              </m:r>
              <m:r>
                <m:rPr>
                  <m:sty m:val="p"/>
                </m:rPr>
                <w:rPr>
                  <w:rFonts w:ascii="Cambria Math" w:hAnsi="Cambria Math"/>
                  <w:color w:val="000000"/>
                  <w:szCs w:val="22"/>
                </w:rPr>
                <m:t>0,006033</m:t>
              </m:r>
            </m:num>
            <m:den>
              <m:r>
                <m:rPr>
                  <m:sty m:val="p"/>
                </m:rPr>
                <w:rPr>
                  <w:rFonts w:ascii="Cambria Math" w:hAnsi="Cambria Math"/>
                  <w:color w:val="000000"/>
                  <w:szCs w:val="22"/>
                </w:rPr>
                <m:t>15,44</m:t>
              </m:r>
              <m:r>
                <m:rPr>
                  <m:sty m:val="p"/>
                </m:rPr>
                <w:rPr>
                  <w:rFonts w:ascii="Cambria Math"/>
                  <w:color w:val="000000"/>
                  <w:szCs w:val="22"/>
                </w:rPr>
                <m:t>-</m:t>
              </m:r>
              <m:r>
                <m:rPr>
                  <m:sty m:val="p"/>
                </m:rPr>
                <w:rPr>
                  <w:rFonts w:ascii="Cambria Math" w:hAnsi="Cambria Math"/>
                  <w:color w:val="000000"/>
                  <w:szCs w:val="22"/>
                </w:rPr>
                <m:t>10,58</m:t>
              </m:r>
            </m:den>
          </m:f>
          <m:r>
            <w:rPr>
              <w:rFonts w:ascii="Cambria Math" w:hAnsi="Cambria Math"/>
              <w:lang w:val="en-US"/>
            </w:rPr>
            <m:t xml:space="preserve">=0,07256 </m:t>
          </m:r>
          <m:r>
            <w:rPr>
              <w:rFonts w:ascii="Cambria Math" w:hAnsi="Cambria Math"/>
              <w:color w:val="000000"/>
              <w:szCs w:val="22"/>
            </w:rPr>
            <m:t>г/</m:t>
          </m:r>
          <m:sSup>
            <m:sSupPr>
              <m:ctrlPr>
                <w:rPr>
                  <w:rFonts w:ascii="Cambria Math" w:hAnsi="Cambria Math"/>
                  <w:i/>
                  <w:color w:val="000000"/>
                  <w:szCs w:val="22"/>
                </w:rPr>
              </m:ctrlPr>
            </m:sSupPr>
            <m:e>
              <m:r>
                <w:rPr>
                  <w:rFonts w:ascii="Cambria Math" w:hAnsi="Cambria Math"/>
                  <w:color w:val="000000"/>
                  <w:szCs w:val="22"/>
                </w:rPr>
                <m:t>см</m:t>
              </m:r>
            </m:e>
            <m:sup>
              <m:r>
                <w:rPr>
                  <w:rFonts w:ascii="Cambria Math" w:hAnsi="Cambria Math"/>
                  <w:color w:val="000000"/>
                  <w:szCs w:val="22"/>
                </w:rPr>
                <m:t>3</m:t>
              </m:r>
            </m:sup>
          </m:sSup>
        </m:oMath>
      </m:oMathPara>
    </w:p>
    <w:p w14:paraId="0EAB3810" w14:textId="63E2F813" w:rsidR="00A5415F" w:rsidRPr="00A5415F" w:rsidRDefault="00A5415F" w:rsidP="00A5415F">
      <w:pPr>
        <w:pStyle w:val="Times142"/>
        <w:rPr>
          <w:i/>
          <w:color w:val="000000"/>
          <w:szCs w:val="22"/>
        </w:rPr>
      </w:pPr>
      <m:oMathPara>
        <m:oMath>
          <m:r>
            <w:rPr>
              <w:rFonts w:ascii="Cambria Math" w:hAnsi="Cambria Math"/>
            </w:rPr>
            <m:t>B=</m:t>
          </m:r>
          <m:r>
            <m:rPr>
              <m:sty m:val="p"/>
            </m:rPr>
            <w:rPr>
              <w:rFonts w:ascii="Cambria Math" w:hAnsi="Cambria Math"/>
              <w:color w:val="000000"/>
              <w:szCs w:val="22"/>
            </w:rPr>
            <m:t>0,016192</m:t>
          </m:r>
          <m:r>
            <m:rPr>
              <m:sty m:val="p"/>
            </m:rPr>
            <w:rPr>
              <w:rFonts w:ascii="Cambria Math"/>
              <w:color w:val="000000"/>
              <w:szCs w:val="22"/>
            </w:rPr>
            <m:t>-</m:t>
          </m:r>
          <m:r>
            <m:rPr>
              <m:sty m:val="p"/>
            </m:rPr>
            <w:rPr>
              <w:rFonts w:ascii="Cambria Math" w:hAnsi="Cambria Math"/>
              <w:color w:val="000000"/>
              <w:szCs w:val="22"/>
            </w:rPr>
            <m:t>0,006033</m:t>
          </m:r>
          <m:r>
            <m:rPr>
              <m:sty m:val="p"/>
            </m:rPr>
            <w:rPr>
              <w:rFonts w:ascii="Cambria Math"/>
              <w:color w:val="000000"/>
              <w:szCs w:val="22"/>
            </w:rPr>
            <m:t xml:space="preserve">=0,01016 </m:t>
          </m:r>
          <m:r>
            <w:rPr>
              <w:rFonts w:ascii="Cambria Math" w:hAnsi="Cambria Math"/>
              <w:color w:val="000000"/>
              <w:szCs w:val="22"/>
            </w:rPr>
            <m:t>г/</m:t>
          </m:r>
          <m:sSup>
            <m:sSupPr>
              <m:ctrlPr>
                <w:rPr>
                  <w:rFonts w:ascii="Cambria Math" w:hAnsi="Cambria Math"/>
                  <w:i/>
                  <w:color w:val="000000"/>
                  <w:szCs w:val="22"/>
                </w:rPr>
              </m:ctrlPr>
            </m:sSupPr>
            <m:e>
              <m:r>
                <w:rPr>
                  <w:rFonts w:ascii="Cambria Math" w:hAnsi="Cambria Math"/>
                  <w:color w:val="000000"/>
                  <w:szCs w:val="22"/>
                </w:rPr>
                <m:t>см</m:t>
              </m:r>
            </m:e>
            <m:sup>
              <m:r>
                <w:rPr>
                  <w:rFonts w:ascii="Cambria Math" w:hAnsi="Cambria Math"/>
                  <w:color w:val="000000"/>
                  <w:szCs w:val="22"/>
                </w:rPr>
                <m:t>3</m:t>
              </m:r>
            </m:sup>
          </m:sSup>
        </m:oMath>
      </m:oMathPara>
    </w:p>
    <w:p w14:paraId="1553D10A" w14:textId="3034B667" w:rsidR="00A5415F" w:rsidRPr="00A3052B" w:rsidRDefault="00A5415F" w:rsidP="00A5415F">
      <w:pPr>
        <w:pStyle w:val="Times142"/>
      </w:pPr>
      <w:r>
        <w:lastRenderedPageBreak/>
        <w:t xml:space="preserve">Рассчитаем значение удельной емкости </w:t>
      </w:r>
      <w:proofErr w:type="spellStart"/>
      <w:r>
        <w:t>монослоя</w:t>
      </w:r>
      <w:proofErr w:type="spellEnd"/>
      <w:r>
        <w:t xml:space="preserve"> </w:t>
      </w:r>
      <w:proofErr w:type="spellStart"/>
      <w:r>
        <w:rPr>
          <w:i/>
          <w:lang w:val="en-US"/>
        </w:rPr>
        <w:t>V</w:t>
      </w:r>
      <w:r>
        <w:rPr>
          <w:i/>
          <w:vertAlign w:val="subscript"/>
          <w:lang w:val="en-US"/>
        </w:rPr>
        <w:t>m</w:t>
      </w:r>
      <w:proofErr w:type="spellEnd"/>
      <w:r>
        <w:t xml:space="preserve"> </w:t>
      </w:r>
      <w:r w:rsidR="00BB2535">
        <w:t>по уравнению:</w:t>
      </w:r>
    </w:p>
    <w:p w14:paraId="1543C8CB" w14:textId="0BFDF956" w:rsidR="00BB2535" w:rsidRPr="00A5415F" w:rsidRDefault="007F5AB2" w:rsidP="00A5415F">
      <w:pPr>
        <w:pStyle w:val="Times142"/>
      </w:pPr>
      <m:oMathPara>
        <m:oMath>
          <m:sSub>
            <m:sSubPr>
              <m:ctrlPr>
                <w:rPr>
                  <w:rFonts w:ascii="Cambria Math" w:hAnsi="Cambria Math"/>
                  <w:i/>
                </w:rPr>
              </m:ctrlPr>
            </m:sSubPr>
            <m:e>
              <m:r>
                <w:rPr>
                  <w:rFonts w:ascii="Cambria Math" w:hAnsi="Cambria Math"/>
                  <w:lang w:val="en-US"/>
                </w:rPr>
                <m:t>V</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lang w:val="en-US"/>
                </w:rPr>
                <m:t>0,07256+</m:t>
              </m:r>
              <m:r>
                <m:rPr>
                  <m:sty m:val="p"/>
                </m:rPr>
                <w:rPr>
                  <w:rFonts w:ascii="Cambria Math"/>
                  <w:color w:val="000000"/>
                  <w:szCs w:val="22"/>
                </w:rPr>
                <m:t>0,01016</m:t>
              </m:r>
            </m:den>
          </m:f>
          <m:r>
            <w:rPr>
              <w:rFonts w:ascii="Cambria Math" w:hAnsi="Cambria Math"/>
            </w:rPr>
            <m:t xml:space="preserve">=12,089 </m:t>
          </m:r>
          <m:sSup>
            <m:sSupPr>
              <m:ctrlPr>
                <w:rPr>
                  <w:rFonts w:ascii="Cambria Math" w:hAnsi="Cambria Math"/>
                  <w:i/>
                  <w:color w:val="000000"/>
                  <w:szCs w:val="22"/>
                </w:rPr>
              </m:ctrlPr>
            </m:sSupPr>
            <m:e>
              <m:r>
                <w:rPr>
                  <w:rFonts w:ascii="Cambria Math" w:hAnsi="Cambria Math"/>
                  <w:color w:val="000000"/>
                  <w:szCs w:val="22"/>
                </w:rPr>
                <m:t>см</m:t>
              </m:r>
            </m:e>
            <m:sup>
              <m:r>
                <w:rPr>
                  <w:rFonts w:ascii="Cambria Math" w:hAnsi="Cambria Math"/>
                  <w:color w:val="000000"/>
                  <w:szCs w:val="22"/>
                </w:rPr>
                <m:t>3</m:t>
              </m:r>
            </m:sup>
          </m:sSup>
          <m:r>
            <w:rPr>
              <w:rFonts w:ascii="Cambria Math" w:hAnsi="Cambria Math"/>
              <w:color w:val="000000"/>
              <w:szCs w:val="22"/>
            </w:rPr>
            <m:t>/г</m:t>
          </m:r>
        </m:oMath>
      </m:oMathPara>
    </w:p>
    <w:p w14:paraId="2DD185D2" w14:textId="3318AAB7" w:rsidR="00A5415F" w:rsidRPr="00BB2535" w:rsidRDefault="00BB2535" w:rsidP="00A5415F">
      <w:pPr>
        <w:pStyle w:val="Times142"/>
        <w:rPr>
          <w:szCs w:val="28"/>
        </w:rPr>
      </w:pPr>
      <w:r>
        <w:rPr>
          <w:szCs w:val="28"/>
        </w:rPr>
        <w:t xml:space="preserve">Далее величина удельной поверхности образца </w:t>
      </w:r>
      <w:proofErr w:type="spellStart"/>
      <w:r w:rsidRPr="00BB2535">
        <w:rPr>
          <w:i/>
          <w:szCs w:val="28"/>
        </w:rPr>
        <w:t>S</w:t>
      </w:r>
      <w:r w:rsidRPr="00BB2535">
        <w:rPr>
          <w:i/>
          <w:szCs w:val="28"/>
          <w:vertAlign w:val="subscript"/>
        </w:rPr>
        <w:t>уд</w:t>
      </w:r>
      <w:proofErr w:type="spellEnd"/>
      <w:r>
        <w:rPr>
          <w:szCs w:val="28"/>
        </w:rPr>
        <w:t xml:space="preserve"> определяется по формуле</w:t>
      </w:r>
      <w:r w:rsidRPr="00BB2535">
        <w:rPr>
          <w:szCs w:val="28"/>
        </w:rPr>
        <w:t xml:space="preserve"> (</w:t>
      </w:r>
      <w:r>
        <w:rPr>
          <w:szCs w:val="28"/>
        </w:rPr>
        <w:t>для азота S0=4,35 м</w:t>
      </w:r>
      <w:r w:rsidRPr="00BB2535">
        <w:rPr>
          <w:szCs w:val="18"/>
          <w:vertAlign w:val="superscript"/>
        </w:rPr>
        <w:t>2</w:t>
      </w:r>
      <w:r>
        <w:rPr>
          <w:szCs w:val="28"/>
        </w:rPr>
        <w:t>/см</w:t>
      </w:r>
      <w:r w:rsidRPr="00BB2535">
        <w:rPr>
          <w:szCs w:val="18"/>
          <w:vertAlign w:val="superscript"/>
        </w:rPr>
        <w:t>3</w:t>
      </w:r>
      <w:r>
        <w:rPr>
          <w:szCs w:val="28"/>
        </w:rPr>
        <w:t>):</w:t>
      </w:r>
    </w:p>
    <w:p w14:paraId="70F92463" w14:textId="63F91B1E" w:rsidR="00BB2535" w:rsidRPr="00114158" w:rsidRDefault="007F5AB2" w:rsidP="00BB2535">
      <w:pPr>
        <w:pStyle w:val="Times142"/>
        <w:ind w:firstLine="0"/>
      </w:pPr>
      <m:oMathPara>
        <m:oMath>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rPr>
                <m:t>уд</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0</m:t>
              </m:r>
            </m:sub>
          </m:sSub>
          <m:sSub>
            <m:sSubPr>
              <m:ctrlPr>
                <w:rPr>
                  <w:rFonts w:ascii="Cambria Math" w:hAnsi="Cambria Math"/>
                  <w:i/>
                  <w:szCs w:val="28"/>
                  <w:lang w:val="en-US"/>
                </w:rPr>
              </m:ctrlPr>
            </m:sSubPr>
            <m:e>
              <m:r>
                <w:rPr>
                  <w:rFonts w:ascii="Cambria Math" w:hAnsi="Cambria Math"/>
                  <w:szCs w:val="28"/>
                  <w:lang w:val="en-US"/>
                </w:rPr>
                <m:t>V</m:t>
              </m:r>
            </m:e>
            <m:sub>
              <m:r>
                <w:rPr>
                  <w:rFonts w:ascii="Cambria Math" w:hAnsi="Cambria Math"/>
                  <w:szCs w:val="28"/>
                  <w:lang w:val="en-US"/>
                </w:rPr>
                <m:t>m</m:t>
              </m:r>
            </m:sub>
          </m:sSub>
          <m:r>
            <w:rPr>
              <w:rFonts w:ascii="Cambria Math" w:hAnsi="Cambria Math"/>
              <w:szCs w:val="28"/>
              <w:lang w:val="en-US"/>
            </w:rPr>
            <m:t>=4,35∙</m:t>
          </m:r>
          <m:r>
            <w:rPr>
              <w:rFonts w:ascii="Cambria Math" w:hAnsi="Cambria Math"/>
            </w:rPr>
            <m:t xml:space="preserve">12,089=52,59 </m:t>
          </m:r>
          <m:sSup>
            <m:sSupPr>
              <m:ctrlPr>
                <w:rPr>
                  <w:rFonts w:ascii="Cambria Math" w:hAnsi="Cambria Math"/>
                  <w:i/>
                </w:rPr>
              </m:ctrlPr>
            </m:sSupPr>
            <m:e>
              <m:r>
                <w:rPr>
                  <w:rFonts w:ascii="Cambria Math" w:hAnsi="Cambria Math"/>
                </w:rPr>
                <m:t>м</m:t>
              </m:r>
            </m:e>
            <m:sup>
              <m:r>
                <w:rPr>
                  <w:rFonts w:ascii="Cambria Math" w:hAnsi="Cambria Math"/>
                </w:rPr>
                <m:t>2</m:t>
              </m:r>
            </m:sup>
          </m:sSup>
          <m:r>
            <w:rPr>
              <w:rFonts w:ascii="Cambria Math" w:hAnsi="Cambria Math"/>
            </w:rPr>
            <m:t>/г</m:t>
          </m:r>
        </m:oMath>
      </m:oMathPara>
    </w:p>
    <w:p w14:paraId="024454C8" w14:textId="1A56303F" w:rsidR="00740B56" w:rsidRPr="001C1F74" w:rsidRDefault="00A3052B" w:rsidP="00F30575">
      <w:pPr>
        <w:pStyle w:val="Times142"/>
        <w:ind w:firstLine="0"/>
        <w:rPr>
          <w:bCs/>
        </w:rPr>
      </w:pPr>
      <w:r>
        <w:rPr>
          <w:b/>
          <w:bCs/>
        </w:rPr>
        <w:tab/>
      </w:r>
      <w:r w:rsidR="00A11FDE">
        <w:rPr>
          <w:bCs/>
        </w:rPr>
        <w:t xml:space="preserve">Вывод: в ходе выполненной лабораторной работы </w:t>
      </w:r>
      <w:r w:rsidR="001C1F74">
        <w:rPr>
          <w:bCs/>
        </w:rPr>
        <w:t xml:space="preserve">было проведено </w:t>
      </w:r>
    </w:p>
    <w:p w14:paraId="20F5E9B8" w14:textId="4DE810D5" w:rsidR="00BB2535" w:rsidRDefault="00A3052B" w:rsidP="00A3052B">
      <w:pPr>
        <w:pStyle w:val="Times142"/>
        <w:ind w:firstLine="0"/>
      </w:pPr>
      <w:r>
        <w:tab/>
      </w:r>
      <w:r w:rsidRPr="00A3052B">
        <w:t>Полученный в данной лабораторной работе график свидетельствует о линейной зависимости величины адсорбции от относительного давления, следовательно, можно сделать вывод о том, что полученная кривая соответствует изотерме адсорбции Генри. Следовательно, режим адсорбции в данной работе соответствовал области малых давлений при минимальной заполненности поверхности</w:t>
      </w:r>
      <w:r>
        <w:t xml:space="preserve">. </w:t>
      </w:r>
    </w:p>
    <w:p w14:paraId="7F945090" w14:textId="55A93E27" w:rsidR="00A3052B" w:rsidRPr="00BB2535" w:rsidRDefault="00A3052B" w:rsidP="00A3052B">
      <w:pPr>
        <w:pStyle w:val="Times142"/>
        <w:ind w:firstLine="0"/>
      </w:pPr>
      <w:r>
        <w:tab/>
        <w:t xml:space="preserve">Таким образом, в процессе выполнения работы была построена зависимость БЭТ для исследуемого образца и посчитана величина его удельной поверхности, которая составила </w:t>
      </w:r>
      <m:oMath>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rPr>
              <m:t>уд</m:t>
            </m:r>
          </m:sub>
        </m:sSub>
        <m:r>
          <w:rPr>
            <w:rFonts w:ascii="Cambria Math" w:hAnsi="Cambria Math"/>
          </w:rPr>
          <m:t xml:space="preserve">=52,59 </m:t>
        </m:r>
        <m:sSup>
          <m:sSupPr>
            <m:ctrlPr>
              <w:rPr>
                <w:rFonts w:ascii="Cambria Math" w:hAnsi="Cambria Math"/>
                <w:i/>
              </w:rPr>
            </m:ctrlPr>
          </m:sSupPr>
          <m:e>
            <m:r>
              <w:rPr>
                <w:rFonts w:ascii="Cambria Math" w:hAnsi="Cambria Math"/>
              </w:rPr>
              <m:t>м</m:t>
            </m:r>
          </m:e>
          <m:sup>
            <m:r>
              <w:rPr>
                <w:rFonts w:ascii="Cambria Math" w:hAnsi="Cambria Math"/>
              </w:rPr>
              <m:t>2</m:t>
            </m:r>
          </m:sup>
        </m:sSup>
        <m:r>
          <w:rPr>
            <w:rFonts w:ascii="Cambria Math" w:hAnsi="Cambria Math"/>
          </w:rPr>
          <m:t>/г</m:t>
        </m:r>
      </m:oMath>
      <w:r>
        <w:t xml:space="preserve">. </w:t>
      </w:r>
      <w:bookmarkStart w:id="1" w:name="_GoBack"/>
      <w:bookmarkEnd w:id="1"/>
    </w:p>
    <w:p w14:paraId="5ADA8DF3" w14:textId="77E38E1C" w:rsidR="00A3052B" w:rsidRPr="00BB2535" w:rsidRDefault="00A3052B" w:rsidP="00A3052B">
      <w:pPr>
        <w:pStyle w:val="Times142"/>
        <w:ind w:firstLine="0"/>
      </w:pPr>
    </w:p>
    <w:sectPr w:rsidR="00A3052B" w:rsidRPr="00BB2535" w:rsidSect="00041A79">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213B8" w14:textId="77777777" w:rsidR="007F5AB2" w:rsidRDefault="007F5AB2" w:rsidP="00041A79">
      <w:pPr>
        <w:spacing w:after="0" w:line="240" w:lineRule="auto"/>
      </w:pPr>
      <w:r>
        <w:separator/>
      </w:r>
    </w:p>
  </w:endnote>
  <w:endnote w:type="continuationSeparator" w:id="0">
    <w:p w14:paraId="7601FC72" w14:textId="77777777" w:rsidR="007F5AB2" w:rsidRDefault="007F5AB2" w:rsidP="00041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551705"/>
      <w:docPartObj>
        <w:docPartGallery w:val="Page Numbers (Bottom of Page)"/>
        <w:docPartUnique/>
      </w:docPartObj>
    </w:sdtPr>
    <w:sdtEndPr/>
    <w:sdtContent>
      <w:p w14:paraId="6FD9AAA8" w14:textId="4C197FF7" w:rsidR="00041A79" w:rsidRDefault="00041A79">
        <w:pPr>
          <w:pStyle w:val="a7"/>
          <w:jc w:val="center"/>
        </w:pPr>
        <w:r>
          <w:fldChar w:fldCharType="begin"/>
        </w:r>
        <w:r>
          <w:instrText>PAGE   \* MERGEFORMAT</w:instrText>
        </w:r>
        <w:r>
          <w:fldChar w:fldCharType="separate"/>
        </w:r>
        <w:r w:rsidR="001C1F74">
          <w:rPr>
            <w:noProof/>
          </w:rPr>
          <w:t>6</w:t>
        </w:r>
        <w:r>
          <w:fldChar w:fldCharType="end"/>
        </w:r>
      </w:p>
    </w:sdtContent>
  </w:sdt>
  <w:p w14:paraId="75B96A0D" w14:textId="77777777" w:rsidR="00041A79" w:rsidRDefault="00041A7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441EFC" w14:textId="77777777" w:rsidR="007F5AB2" w:rsidRDefault="007F5AB2" w:rsidP="00041A79">
      <w:pPr>
        <w:spacing w:after="0" w:line="240" w:lineRule="auto"/>
      </w:pPr>
      <w:r>
        <w:separator/>
      </w:r>
    </w:p>
  </w:footnote>
  <w:footnote w:type="continuationSeparator" w:id="0">
    <w:p w14:paraId="1FD947E5" w14:textId="77777777" w:rsidR="007F5AB2" w:rsidRDefault="007F5AB2" w:rsidP="00041A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476"/>
    <w:rsid w:val="00041A79"/>
    <w:rsid w:val="000902CC"/>
    <w:rsid w:val="00114158"/>
    <w:rsid w:val="00182E09"/>
    <w:rsid w:val="001C1F74"/>
    <w:rsid w:val="001D77F7"/>
    <w:rsid w:val="00295A52"/>
    <w:rsid w:val="002B6F2B"/>
    <w:rsid w:val="003951B0"/>
    <w:rsid w:val="003F4F8A"/>
    <w:rsid w:val="004A05D4"/>
    <w:rsid w:val="005C376A"/>
    <w:rsid w:val="005F0F67"/>
    <w:rsid w:val="00740B56"/>
    <w:rsid w:val="00753476"/>
    <w:rsid w:val="007F5AB2"/>
    <w:rsid w:val="00891302"/>
    <w:rsid w:val="00947599"/>
    <w:rsid w:val="00A11FDE"/>
    <w:rsid w:val="00A3052B"/>
    <w:rsid w:val="00A5415F"/>
    <w:rsid w:val="00B0658C"/>
    <w:rsid w:val="00BB2535"/>
    <w:rsid w:val="00CB5F60"/>
    <w:rsid w:val="00E46401"/>
    <w:rsid w:val="00ED5806"/>
    <w:rsid w:val="00F305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879C"/>
  <w15:docId w15:val="{2DE68495-F549-4AC0-B66F-8E299B46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2E09"/>
    <w:pPr>
      <w:spacing w:after="200" w:line="276" w:lineRule="auto"/>
    </w:pPr>
    <w:rPr>
      <w:rFonts w:ascii="Times New Roman" w:hAnsi="Times New Roman" w:cs="Times New Roman"/>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3F4F8A"/>
    <w:pPr>
      <w:tabs>
        <w:tab w:val="left" w:pos="709"/>
      </w:tabs>
      <w:spacing w:after="0" w:line="360" w:lineRule="auto"/>
      <w:ind w:firstLine="709"/>
      <w:jc w:val="both"/>
    </w:pPr>
    <w:rPr>
      <w:rFonts w:eastAsia="Times New Roman"/>
      <w:lang w:eastAsia="ru-RU"/>
    </w:rPr>
  </w:style>
  <w:style w:type="character" w:customStyle="1" w:styleId="Times1420">
    <w:name w:val="Times14_РИО2 Знак"/>
    <w:basedOn w:val="a0"/>
    <w:link w:val="Times142"/>
    <w:rsid w:val="003F4F8A"/>
    <w:rPr>
      <w:rFonts w:ascii="Times New Roman" w:eastAsia="Times New Roman" w:hAnsi="Times New Roman" w:cs="Times New Roman"/>
      <w:sz w:val="28"/>
      <w:szCs w:val="24"/>
      <w:lang w:eastAsia="ru-RU"/>
    </w:rPr>
  </w:style>
  <w:style w:type="character" w:styleId="a3">
    <w:name w:val="Placeholder Text"/>
    <w:basedOn w:val="a0"/>
    <w:uiPriority w:val="99"/>
    <w:semiHidden/>
    <w:rsid w:val="003F4F8A"/>
    <w:rPr>
      <w:color w:val="808080"/>
    </w:rPr>
  </w:style>
  <w:style w:type="paragraph" w:styleId="a4">
    <w:name w:val="caption"/>
    <w:basedOn w:val="Times142"/>
    <w:next w:val="a"/>
    <w:uiPriority w:val="35"/>
    <w:unhideWhenUsed/>
    <w:qFormat/>
    <w:rsid w:val="00CB5F60"/>
  </w:style>
  <w:style w:type="paragraph" w:styleId="a5">
    <w:name w:val="header"/>
    <w:basedOn w:val="a"/>
    <w:link w:val="a6"/>
    <w:uiPriority w:val="99"/>
    <w:unhideWhenUsed/>
    <w:rsid w:val="00041A79"/>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041A79"/>
    <w:rPr>
      <w:rFonts w:ascii="Times New Roman" w:hAnsi="Times New Roman" w:cs="Times New Roman"/>
      <w:sz w:val="28"/>
      <w:szCs w:val="24"/>
    </w:rPr>
  </w:style>
  <w:style w:type="paragraph" w:styleId="a7">
    <w:name w:val="footer"/>
    <w:basedOn w:val="a"/>
    <w:link w:val="a8"/>
    <w:uiPriority w:val="99"/>
    <w:unhideWhenUsed/>
    <w:rsid w:val="00041A79"/>
    <w:pPr>
      <w:tabs>
        <w:tab w:val="center" w:pos="4677"/>
        <w:tab w:val="right" w:pos="9355"/>
      </w:tabs>
      <w:spacing w:after="0" w:line="240" w:lineRule="auto"/>
    </w:pPr>
  </w:style>
  <w:style w:type="character" w:customStyle="1" w:styleId="a8">
    <w:name w:val="Нижний колонтитул Знак"/>
    <w:basedOn w:val="a0"/>
    <w:link w:val="a7"/>
    <w:uiPriority w:val="99"/>
    <w:rsid w:val="00041A79"/>
    <w:rPr>
      <w:rFonts w:ascii="Times New Roman" w:hAnsi="Times New Roman" w:cs="Times New Roman"/>
      <w:sz w:val="28"/>
      <w:szCs w:val="24"/>
    </w:rPr>
  </w:style>
  <w:style w:type="paragraph" w:styleId="a9">
    <w:name w:val="Balloon Text"/>
    <w:basedOn w:val="a"/>
    <w:link w:val="aa"/>
    <w:uiPriority w:val="99"/>
    <w:semiHidden/>
    <w:unhideWhenUsed/>
    <w:rsid w:val="00B0658C"/>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065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452165">
      <w:bodyDiv w:val="1"/>
      <w:marLeft w:val="0"/>
      <w:marRight w:val="0"/>
      <w:marTop w:val="0"/>
      <w:marBottom w:val="0"/>
      <w:divBdr>
        <w:top w:val="none" w:sz="0" w:space="0" w:color="auto"/>
        <w:left w:val="none" w:sz="0" w:space="0" w:color="auto"/>
        <w:bottom w:val="none" w:sz="0" w:space="0" w:color="auto"/>
        <w:right w:val="none" w:sz="0" w:space="0" w:color="auto"/>
      </w:divBdr>
    </w:div>
    <w:div w:id="121912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1047;&#1072;&#1075;&#1088;&#1091;&#1079;&#1082;&#1080;\111_&#1052;&#1072;&#1075;&#1072;\3%20&#1089;&#1077;&#1084;\&#1057;&#1087;&#1080;&#1074;&#1072;&#1082;\&#1051;&#1080;&#1089;&#1090;%20Microsof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xVal>
            <c:numRef>
              <c:f>Лист1!$E$16:$E$19</c:f>
              <c:numCache>
                <c:formatCode>General</c:formatCode>
                <c:ptCount val="4"/>
                <c:pt idx="0">
                  <c:v>0.06</c:v>
                </c:pt>
                <c:pt idx="1">
                  <c:v>0.09</c:v>
                </c:pt>
                <c:pt idx="2">
                  <c:v>0.15</c:v>
                </c:pt>
                <c:pt idx="3">
                  <c:v>0.2</c:v>
                </c:pt>
              </c:numCache>
            </c:numRef>
          </c:xVal>
          <c:yVal>
            <c:numRef>
              <c:f>Лист1!$G$16:$G$19</c:f>
              <c:numCache>
                <c:formatCode>General</c:formatCode>
                <c:ptCount val="4"/>
                <c:pt idx="0">
                  <c:v>6.0330611752403172E-3</c:v>
                </c:pt>
                <c:pt idx="1">
                  <c:v>8.0735590939672568E-3</c:v>
                </c:pt>
                <c:pt idx="2">
                  <c:v>1.2220954863940037E-2</c:v>
                </c:pt>
                <c:pt idx="3">
                  <c:v>1.6191709844559588E-2</c:v>
                </c:pt>
              </c:numCache>
            </c:numRef>
          </c:yVal>
          <c:smooth val="1"/>
          <c:extLst>
            <c:ext xmlns:c16="http://schemas.microsoft.com/office/drawing/2014/chart" uri="{C3380CC4-5D6E-409C-BE32-E72D297353CC}">
              <c16:uniqueId val="{00000000-FE57-4E54-908B-A5A2CCCE9EA7}"/>
            </c:ext>
          </c:extLst>
        </c:ser>
        <c:dLbls>
          <c:showLegendKey val="0"/>
          <c:showVal val="0"/>
          <c:showCatName val="0"/>
          <c:showSerName val="0"/>
          <c:showPercent val="0"/>
          <c:showBubbleSize val="0"/>
        </c:dLbls>
        <c:axId val="259501056"/>
        <c:axId val="259457792"/>
      </c:scatterChart>
      <c:valAx>
        <c:axId val="259501056"/>
        <c:scaling>
          <c:orientation val="minMax"/>
          <c:max val="0.23"/>
          <c:min val="3.0000000000000006E-2"/>
        </c:scaling>
        <c:delete val="0"/>
        <c:axPos val="b"/>
        <c:majorGridlines/>
        <c:title>
          <c:tx>
            <c:rich>
              <a:bodyPr/>
              <a:lstStyle/>
              <a:p>
                <a:pPr>
                  <a:defRPr/>
                </a:pPr>
                <a:r>
                  <a:rPr lang="en-US"/>
                  <a:t>h</a:t>
                </a:r>
                <a:endParaRPr lang="ru-RU"/>
              </a:p>
            </c:rich>
          </c:tx>
          <c:overlay val="0"/>
        </c:title>
        <c:numFmt formatCode="General" sourceLinked="1"/>
        <c:majorTickMark val="out"/>
        <c:minorTickMark val="none"/>
        <c:tickLblPos val="nextTo"/>
        <c:crossAx val="259457792"/>
        <c:crosses val="autoZero"/>
        <c:crossBetween val="midCat"/>
        <c:majorUnit val="3.0000000000000006E-2"/>
        <c:minorUnit val="1.0000000000000002E-2"/>
      </c:valAx>
      <c:valAx>
        <c:axId val="259457792"/>
        <c:scaling>
          <c:orientation val="minMax"/>
          <c:min val="5.000000000000001E-3"/>
        </c:scaling>
        <c:delete val="0"/>
        <c:axPos val="l"/>
        <c:majorGridlines/>
        <c:title>
          <c:tx>
            <c:rich>
              <a:bodyPr/>
              <a:lstStyle/>
              <a:p>
                <a:pPr>
                  <a:defRPr/>
                </a:pPr>
                <a:r>
                  <a:rPr lang="en-US"/>
                  <a:t>A</a:t>
                </a:r>
                <a:endParaRPr lang="ru-RU"/>
              </a:p>
            </c:rich>
          </c:tx>
          <c:overlay val="0"/>
        </c:title>
        <c:numFmt formatCode="General" sourceLinked="1"/>
        <c:majorTickMark val="out"/>
        <c:minorTickMark val="none"/>
        <c:tickLblPos val="nextTo"/>
        <c:crossAx val="259501056"/>
        <c:crosses val="autoZero"/>
        <c:crossBetween val="midCat"/>
        <c:majorUnit val="1.0000000000000002E-3"/>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1315</Words>
  <Characters>7500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Мелконян</dc:creator>
  <cp:keywords/>
  <dc:description/>
  <cp:lastModifiedBy>Роман Галякбаров</cp:lastModifiedBy>
  <cp:revision>3</cp:revision>
  <cp:lastPrinted>2024-12-12T21:05:00Z</cp:lastPrinted>
  <dcterms:created xsi:type="dcterms:W3CDTF">2024-12-13T06:07:00Z</dcterms:created>
  <dcterms:modified xsi:type="dcterms:W3CDTF">2024-12-13T06:10:00Z</dcterms:modified>
</cp:coreProperties>
</file>