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Toc180581338"/>
      <w:bookmarkStart w:id="1" w:name="_Hlk90070782"/>
      <w:r w:rsidRPr="007D077B">
        <w:rPr>
          <w:rFonts w:cs="Times New Roman"/>
          <w:szCs w:val="28"/>
        </w:rPr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87F5C" w14:textId="33379D9F" w:rsidR="007D077B" w:rsidRPr="007D077B" w:rsidRDefault="00A9316D" w:rsidP="007D077B">
          <w:pPr>
            <w:pStyle w:val="a5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58133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_Toc180581338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AF29E" w14:textId="7A922E0D" w:rsidR="007D077B" w:rsidRPr="007D077B" w:rsidRDefault="00012140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39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_Toc180581339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7D88" w14:textId="20681081" w:rsidR="007D077B" w:rsidRPr="007D077B" w:rsidRDefault="00012140">
          <w:pPr>
            <w:pStyle w:val="1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0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_Toc180581340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E6DA0" w14:textId="7497F875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1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Характеристика языка программирования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_Toc180581341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054D6" w14:textId="798B7CCA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2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_Toc180581342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37B0B" w14:textId="6F2A5F78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3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Применяемые сепараторы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_Toc180581343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44503" w14:textId="157EE0B5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4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 Применяемые кодировки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_Toc180581344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87336" w14:textId="6BB23899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5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 Типы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_Toc180581345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A068" w14:textId="04451160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6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 Преобразование типов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_Toc180581346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7BB0" w14:textId="06849527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7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 Идентификаторы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_Toc180581347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BFAD6" w14:textId="5F8C704C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 Литералы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2ACCC" w14:textId="25B890B8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49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1.9 Объявление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_Toc180581349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BEBC6" w14:textId="42DC0720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0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Инициализация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_Toc180581350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0C05A" w14:textId="7B7E566B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1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1.10 Инструкции языка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_Toc180581351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02A16" w14:textId="26AC0461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2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1.12 Операции языка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_Toc180581352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4B95AF" w14:textId="231152C1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3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1.13 Выражения и их вычисления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_Toc180581353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BA58FA" w14:textId="23604876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4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1.14 Программные конструкции языка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_Toc180581354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45926" w14:textId="53BF026D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5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1.15 Область видимости идентификаторов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_Toc180581355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CB09E" w14:textId="4D99586B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6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1.16 Семантические проверки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_Toc180581356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05E83" w14:textId="57B49927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7" w:history="1">
            <w:r w:rsidR="007D077B" w:rsidRPr="007D077B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_Toc180581357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96A6F9" w14:textId="4260700D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8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 Стандартная библиотека и её состав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_Toc180581358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08111" w14:textId="30084058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59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1.19 Ввод и вывод данных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_Toc180581359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41E27" w14:textId="6790068F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0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1.20 Точка входа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_Toc180581360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81C0" w14:textId="4BDA9F31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1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1.21 Препроцессор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_Toc180581361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F9CCF" w14:textId="601DD479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2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 Соглашения о вызовах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_Toc180581362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F86EC" w14:textId="484FC6FA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3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 Объектный код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_Toc180581363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7B76B" w14:textId="39FA1903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4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 Классификация сообщений транслятора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_Toc180581364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459BE" w14:textId="107E4C0E" w:rsidR="007D077B" w:rsidRPr="007D077B" w:rsidRDefault="00012140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581365" w:history="1">
            <w:r w:rsidR="007D077B" w:rsidRPr="007D077B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 Контрольный пример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_Toc180581365 \h </w:instrTex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D077B" w:rsidRPr="007D07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391387A5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0581339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1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0581340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0581341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0581342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0581343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0581344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0581345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0581346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0581347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0581348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125D6CA1" w:rsidR="004D1A5D" w:rsidRPr="00E87601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ое,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восьмеричное, двоичное, десятичное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502185C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31A89B02" w:rsidR="0024224B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190D" w:rsidRPr="00CB19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 как обозначены в языке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0581349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33BC46FE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6207DA" w:rsidRPr="006207DA">
        <w:t>:</w:t>
      </w:r>
      <w:r w:rsidR="006207DA">
        <w:t xml:space="preserve"> </w:t>
      </w:r>
      <w:r w:rsidR="006207DA" w:rsidRPr="00CB190D">
        <w:rPr>
          <w:color w:val="FF0000"/>
        </w:rPr>
        <w:t>идентификаторы недоступны до их объявления.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0581350"/>
      <w:r w:rsidRPr="006207DA">
        <w:t>1.10 Инициализация данных</w:t>
      </w:r>
      <w:bookmarkEnd w:id="27"/>
    </w:p>
    <w:p w14:paraId="66EEE018" w14:textId="741C5540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  <w:r w:rsidR="001604FF" w:rsidRPr="001604FF">
        <w:rPr>
          <w:rStyle w:val="12"/>
          <w:color w:val="FF0000"/>
          <w:szCs w:val="28"/>
        </w:rPr>
        <w:t>Не факт, пока не уверен</w:t>
      </w:r>
    </w:p>
    <w:p w14:paraId="2E93A282" w14:textId="7D4E5BD2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984C10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690D6251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0581351"/>
      <w:r>
        <w:t>1.10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45E23F41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 [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…]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151E082C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&lt;значение&gt;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5A0385C3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02442B49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 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4D490FE8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0581352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3F247193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C4DD9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5D71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03881" w14:textId="09F1296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A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79D40E03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 &amp;&amp; b &gt; 10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D75669" w14:paraId="27F94E3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525FF" w14:textId="3FB27879" w:rsidR="00D75669" w:rsidRPr="003506FD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81D9" w14:textId="6CEAFCD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логического объединения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A400" w14:textId="60B6C80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 &amp;&amp; b &gt; 10;</w:t>
            </w:r>
          </w:p>
        </w:tc>
      </w:tr>
      <w:tr w:rsidR="00D75669" w14:paraId="3CEBB110" w14:textId="77777777" w:rsidTr="003506FD">
        <w:trPr>
          <w:trHeight w:val="447"/>
        </w:trPr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995B" w14:textId="0667A035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F7D3" w14:textId="36119DFF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логического пересечения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3E87" w14:textId="79BD04C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x &lt;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x == 10;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0581353"/>
      <w:r w:rsidRPr="003506FD">
        <w:lastRenderedPageBreak/>
        <w:t>1.13 Выражения и их вычисления</w:t>
      </w:r>
      <w:bookmarkEnd w:id="34"/>
    </w:p>
    <w:p w14:paraId="2B9FAE36" w14:textId="43B7EB28" w:rsidR="000B1A6B" w:rsidRPr="008E1EC8" w:rsidRDefault="003506FD" w:rsidP="003506FD">
      <w:pPr>
        <w:pStyle w:val="13"/>
        <w:spacing w:before="0" w:after="0"/>
        <w:jc w:val="both"/>
        <w:rPr>
          <w:color w:val="FF0000"/>
          <w:szCs w:val="28"/>
        </w:rPr>
      </w:pPr>
      <w:r w:rsidRPr="003506FD">
        <w:rPr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функции, если эта функция </w:t>
      </w:r>
      <w:r>
        <w:rPr>
          <w:szCs w:val="28"/>
        </w:rPr>
        <w:t>возвращает значение, поддерживающее выполнение операции данного выражения</w:t>
      </w:r>
      <w:r w:rsidRPr="003506FD">
        <w:rPr>
          <w:szCs w:val="28"/>
        </w:rPr>
        <w:t>. Выражения вычисляются только после оператора присваивания.</w:t>
      </w:r>
      <w:r w:rsidR="008E1EC8">
        <w:rPr>
          <w:szCs w:val="28"/>
        </w:rPr>
        <w:t xml:space="preserve"> </w:t>
      </w:r>
      <w:r w:rsidR="008E1EC8" w:rsidRPr="008E1EC8">
        <w:rPr>
          <w:color w:val="FF0000"/>
          <w:szCs w:val="28"/>
        </w:rPr>
        <w:t>Для типов где можно использовать</w:t>
      </w:r>
    </w:p>
    <w:p w14:paraId="02A0F777" w14:textId="4638951E" w:rsidR="003506FD" w:rsidRDefault="003506FD" w:rsidP="003506FD">
      <w:pPr>
        <w:pStyle w:val="afa"/>
      </w:pPr>
      <w:bookmarkStart w:id="35" w:name="_Toc180581354"/>
      <w:r w:rsidRPr="003506FD">
        <w:t>1.14 Программные конструкции языка</w:t>
      </w:r>
      <w:bookmarkEnd w:id="35"/>
    </w:p>
    <w:p w14:paraId="3A0680A5" w14:textId="18F2734D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  <w:r w:rsidR="00890B8A" w:rsidRPr="00890B8A">
        <w:rPr>
          <w:color w:val="FF0000"/>
        </w:rPr>
        <w:t>не факт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085C9C07" w14:textId="1B423BD2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63DA70D0" w14:textId="77777777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0581355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5ADCE024" w:rsidR="00890B8A" w:rsidRPr="008E1EC8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E1EC8">
        <w:rPr>
          <w:rFonts w:ascii="Times New Roman" w:hAnsi="Times New Roman" w:cs="Times New Roman"/>
          <w:color w:val="FF0000"/>
          <w:sz w:val="28"/>
          <w:szCs w:val="28"/>
        </w:rPr>
        <w:t xml:space="preserve">В языке </w:t>
      </w:r>
      <w:r w:rsidRPr="008E1EC8">
        <w:rPr>
          <w:rFonts w:ascii="Times New Roman" w:hAnsi="Times New Roman" w:cs="Times New Roman"/>
          <w:color w:val="FF0000"/>
          <w:sz w:val="28"/>
          <w:szCs w:val="28"/>
          <w:lang w:val="en-US"/>
        </w:rPr>
        <w:t>GMS</w:t>
      </w:r>
      <w:r w:rsidRPr="008E1EC8">
        <w:rPr>
          <w:rFonts w:ascii="Times New Roman" w:hAnsi="Times New Roman" w:cs="Times New Roman"/>
          <w:color w:val="FF0000"/>
          <w:sz w:val="28"/>
          <w:szCs w:val="28"/>
        </w:rPr>
        <w:t>-2024 все переменные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8E1EC8">
        <w:rPr>
          <w:rFonts w:ascii="Times New Roman" w:hAnsi="Times New Roman" w:cs="Times New Roman"/>
          <w:color w:val="FF0000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0581356"/>
      <w:r w:rsidRPr="00890B8A"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0581357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241A7386" w:rsidR="00890B8A" w:rsidRP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размещаются в куче. </w:t>
      </w:r>
      <w:r w:rsidRPr="0035443C">
        <w:rPr>
          <w:rFonts w:ascii="Times New Roman" w:hAnsi="Times New Roman" w:cs="Times New Roman"/>
          <w:color w:val="FF0000"/>
          <w:sz w:val="28"/>
          <w:szCs w:val="28"/>
        </w:rPr>
        <w:t>А может в стеке, посмотрим</w:t>
      </w:r>
    </w:p>
    <w:p w14:paraId="4A98DED9" w14:textId="311045E3" w:rsidR="00890B8A" w:rsidRDefault="0035443C" w:rsidP="0035443C">
      <w:pPr>
        <w:pStyle w:val="afa"/>
      </w:pPr>
      <w:bookmarkStart w:id="41" w:name="_Toc180581358"/>
      <w:r w:rsidRPr="0035443C">
        <w:t>1.18 Стандартная библиотека и её состав</w:t>
      </w:r>
      <w:bookmarkEnd w:id="41"/>
    </w:p>
    <w:p w14:paraId="04E71CB4" w14:textId="21F82C0C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нужно явно подключить необходимую функцию с помощью ключевого слова </w:t>
      </w:r>
      <w:r>
        <w:rPr>
          <w:rFonts w:ascii="Times New Roman" w:hAnsi="Times New Roman" w:cs="Times New Roman"/>
          <w:sz w:val="28"/>
          <w:szCs w:val="28"/>
          <w:lang w:val="en-GB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, далее работа с ними производится как с пользовательскими функциями.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print(char[]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0581359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0581360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0581361"/>
      <w:r w:rsidRPr="00D93CD5">
        <w:t>1.21 Препроцессор</w:t>
      </w:r>
      <w:bookmarkEnd w:id="44"/>
    </w:p>
    <w:p w14:paraId="593368A5" w14:textId="4DFFAA16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  <w:r w:rsidRPr="00D93CD5">
        <w:rPr>
          <w:color w:val="FF0000"/>
          <w:szCs w:val="28"/>
        </w:rPr>
        <w:t>Пока</w:t>
      </w:r>
    </w:p>
    <w:p w14:paraId="1FF8E67B" w14:textId="77777777" w:rsidR="00D93CD5" w:rsidRPr="00D93CD5" w:rsidRDefault="00D93CD5" w:rsidP="00D93CD5">
      <w:pPr>
        <w:pStyle w:val="afa"/>
      </w:pPr>
      <w:bookmarkStart w:id="45" w:name="_Toc180581362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0581363"/>
      <w:r w:rsidRPr="00D93CD5">
        <w:t>1.23 Объектный код</w:t>
      </w:r>
      <w:bookmarkEnd w:id="46"/>
      <w:r w:rsidRPr="00D93CD5">
        <w:t xml:space="preserve">  </w:t>
      </w:r>
    </w:p>
    <w:p w14:paraId="520989CA" w14:textId="4D68C33E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ассемблера.</w:t>
      </w:r>
    </w:p>
    <w:p w14:paraId="7EA0700B" w14:textId="75FEEC02" w:rsidR="00D93CD5" w:rsidRPr="00D93CD5" w:rsidRDefault="00D93CD5" w:rsidP="00D93CD5">
      <w:pPr>
        <w:pStyle w:val="afa"/>
      </w:pPr>
      <w:bookmarkStart w:id="47" w:name="_Toc180581364"/>
      <w:r w:rsidRPr="00D93CD5">
        <w:t>1.24 Классификация сообщений транслятора</w:t>
      </w:r>
      <w:bookmarkEnd w:id="47"/>
    </w:p>
    <w:p w14:paraId="6BF763FC" w14:textId="16F07329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0CC39C7B" w14:textId="77777777" w:rsidR="00D93CD5" w:rsidRPr="00D93CD5" w:rsidRDefault="00D93CD5" w:rsidP="00D93CD5">
      <w:pPr>
        <w:pStyle w:val="aff4"/>
      </w:pPr>
      <w:r w:rsidRPr="00D93CD5">
        <w:lastRenderedPageBreak/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</w:tbl>
    <w:p w14:paraId="00F99269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1F042232" w14:textId="77777777" w:rsidR="00F7579B" w:rsidRDefault="00F7579B" w:rsidP="00F7579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</w:p>
    <w:p w14:paraId="6103266B" w14:textId="01727521" w:rsidR="00D93CD5" w:rsidRDefault="00D93CD5" w:rsidP="00F7579B">
      <w:pPr>
        <w:pStyle w:val="aff4"/>
      </w:pPr>
      <w:r>
        <w:t>Продолжение таблицы 1.10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4095696D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D3FF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Интервал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ABA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ошибок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0581365"/>
      <w:r w:rsidRPr="00D93CD5">
        <w:t>1.25 Контрольный пример</w:t>
      </w:r>
      <w:bookmarkEnd w:id="48"/>
    </w:p>
    <w:p w14:paraId="096BA25C" w14:textId="51A47550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ABD149" w14:textId="5A88889A" w:rsidR="00D93CD5" w:rsidRDefault="00D93CD5" w:rsidP="00D93CD5">
      <w:pPr>
        <w:pStyle w:val="13"/>
        <w:spacing w:before="0" w:after="0"/>
        <w:ind w:firstLine="0"/>
        <w:jc w:val="both"/>
        <w:rPr>
          <w:szCs w:val="28"/>
        </w:rPr>
      </w:pPr>
    </w:p>
    <w:p w14:paraId="42ED66CB" w14:textId="288D5FCD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52A0FE15" w14:textId="054057D4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10761E95" w14:textId="1E80074F" w:rsidR="00D93CD5" w:rsidRDefault="00D93CD5" w:rsidP="00D93CD5">
      <w:pPr>
        <w:pStyle w:val="13"/>
        <w:spacing w:before="0" w:after="0"/>
        <w:jc w:val="both"/>
        <w:rPr>
          <w:szCs w:val="28"/>
        </w:rPr>
      </w:pPr>
    </w:p>
    <w:p w14:paraId="30A5189F" w14:textId="77777777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</w:p>
    <w:sectPr w:rsidR="00D93CD5" w:rsidRPr="00D93CD5" w:rsidSect="00CF6F20">
      <w:headerReference w:type="default" r:id="rId8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4397" w14:textId="77777777" w:rsidR="00012140" w:rsidRDefault="00012140" w:rsidP="00256180">
      <w:pPr>
        <w:spacing w:after="0" w:line="240" w:lineRule="auto"/>
      </w:pPr>
      <w:r>
        <w:separator/>
      </w:r>
    </w:p>
  </w:endnote>
  <w:endnote w:type="continuationSeparator" w:id="0">
    <w:p w14:paraId="5ADD559C" w14:textId="77777777" w:rsidR="00012140" w:rsidRDefault="00012140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CCD1E" w14:textId="77777777" w:rsidR="00012140" w:rsidRDefault="00012140" w:rsidP="00256180">
      <w:pPr>
        <w:spacing w:after="0" w:line="240" w:lineRule="auto"/>
      </w:pPr>
      <w:r>
        <w:separator/>
      </w:r>
    </w:p>
  </w:footnote>
  <w:footnote w:type="continuationSeparator" w:id="0">
    <w:p w14:paraId="3EF38CAD" w14:textId="77777777" w:rsidR="00012140" w:rsidRDefault="00012140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379C"/>
    <w:rsid w:val="00234A5D"/>
    <w:rsid w:val="002366BE"/>
    <w:rsid w:val="0024224B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41DCF"/>
    <w:rsid w:val="00442592"/>
    <w:rsid w:val="00471BCC"/>
    <w:rsid w:val="00473BB0"/>
    <w:rsid w:val="004976B0"/>
    <w:rsid w:val="004A542B"/>
    <w:rsid w:val="004C76A7"/>
    <w:rsid w:val="004D1A5D"/>
    <w:rsid w:val="004E1B24"/>
    <w:rsid w:val="00501849"/>
    <w:rsid w:val="00501A0F"/>
    <w:rsid w:val="005210D0"/>
    <w:rsid w:val="00552A39"/>
    <w:rsid w:val="0057182C"/>
    <w:rsid w:val="005A1C5A"/>
    <w:rsid w:val="005B3BBB"/>
    <w:rsid w:val="005B4144"/>
    <w:rsid w:val="006105B2"/>
    <w:rsid w:val="0061096D"/>
    <w:rsid w:val="006201A5"/>
    <w:rsid w:val="006207DA"/>
    <w:rsid w:val="00624D64"/>
    <w:rsid w:val="0062622A"/>
    <w:rsid w:val="006310BD"/>
    <w:rsid w:val="00643BD4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55559"/>
    <w:rsid w:val="00957E96"/>
    <w:rsid w:val="00973E22"/>
    <w:rsid w:val="00976CFC"/>
    <w:rsid w:val="009806AF"/>
    <w:rsid w:val="00984C10"/>
    <w:rsid w:val="009B251A"/>
    <w:rsid w:val="009B7D64"/>
    <w:rsid w:val="009D1DF9"/>
    <w:rsid w:val="009E2A9D"/>
    <w:rsid w:val="009F0909"/>
    <w:rsid w:val="00A01A32"/>
    <w:rsid w:val="00A32157"/>
    <w:rsid w:val="00A366EA"/>
    <w:rsid w:val="00A4317A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A4FEF"/>
    <w:rsid w:val="00BA69FE"/>
    <w:rsid w:val="00BC1FCD"/>
    <w:rsid w:val="00BC2FD7"/>
    <w:rsid w:val="00BD2D33"/>
    <w:rsid w:val="00BE2A15"/>
    <w:rsid w:val="00BF756E"/>
    <w:rsid w:val="00C0337B"/>
    <w:rsid w:val="00C1155B"/>
    <w:rsid w:val="00C11D13"/>
    <w:rsid w:val="00C22A32"/>
    <w:rsid w:val="00C246E8"/>
    <w:rsid w:val="00C34CEE"/>
    <w:rsid w:val="00C53C50"/>
    <w:rsid w:val="00C625FC"/>
    <w:rsid w:val="00C942AB"/>
    <w:rsid w:val="00CA639D"/>
    <w:rsid w:val="00CB190D"/>
    <w:rsid w:val="00CB2855"/>
    <w:rsid w:val="00CF6F20"/>
    <w:rsid w:val="00D05D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C3465"/>
    <w:rsid w:val="00DC5F75"/>
    <w:rsid w:val="00DF5F66"/>
    <w:rsid w:val="00E331ED"/>
    <w:rsid w:val="00E46075"/>
    <w:rsid w:val="00E54B6B"/>
    <w:rsid w:val="00E83313"/>
    <w:rsid w:val="00E85F92"/>
    <w:rsid w:val="00E87601"/>
    <w:rsid w:val="00E97A8B"/>
    <w:rsid w:val="00E97CE6"/>
    <w:rsid w:val="00EA6022"/>
    <w:rsid w:val="00ED054E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Зубенко</cp:lastModifiedBy>
  <cp:revision>102</cp:revision>
  <dcterms:created xsi:type="dcterms:W3CDTF">2024-04-24T20:13:00Z</dcterms:created>
  <dcterms:modified xsi:type="dcterms:W3CDTF">2024-12-10T18:19:00Z</dcterms:modified>
</cp:coreProperties>
</file>