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jc w:val="center"/>
        <w:rPr>
          <w:rFonts w:ascii="Times New Roman" w:cs="Times New Roman" w:eastAsia="Times New Roman" w:hAnsi="Times New Roman"/>
          <w:b w:val="1"/>
          <w:color w:val="6363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32"/>
          <w:szCs w:val="32"/>
          <w:rtl w:val="0"/>
        </w:rPr>
        <w:t xml:space="preserve">Banking Operations</w:t>
      </w:r>
    </w:p>
    <w:p w:rsidR="00000000" w:rsidDel="00000000" w:rsidP="00000000" w:rsidRDefault="00000000" w:rsidRPr="00000000" w14:paraId="00000002">
      <w:pPr>
        <w:spacing w:before="240" w:lineRule="auto"/>
        <w:ind w:left="100" w:firstLine="0"/>
        <w:jc w:val="center"/>
        <w:rPr>
          <w:rFonts w:ascii="Times New Roman" w:cs="Times New Roman" w:eastAsia="Times New Roman" w:hAnsi="Times New Roman"/>
          <w:b w:val="1"/>
          <w:color w:val="6363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32"/>
          <w:szCs w:val="32"/>
          <w:rtl w:val="0"/>
        </w:rPr>
        <w:t xml:space="preserve">Cashback - Turbo</w:t>
      </w:r>
    </w:p>
    <w:p w:rsidR="00000000" w:rsidDel="00000000" w:rsidP="00000000" w:rsidRDefault="00000000" w:rsidRPr="00000000" w14:paraId="00000003">
      <w:pPr>
        <w:spacing w:before="240" w:lineRule="auto"/>
        <w:ind w:left="100" w:firstLine="0"/>
        <w:rPr>
          <w:rFonts w:ascii="Times New Roman" w:cs="Times New Roman" w:eastAsia="Times New Roman" w:hAnsi="Times New Roman"/>
          <w:b w:val="1"/>
          <w:color w:val="63636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24"/>
          <w:szCs w:val="24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28"/>
          <w:szCs w:val="28"/>
          <w:rtl w:val="0"/>
        </w:rPr>
        <w:t xml:space="preserve">    Zeta.Tech</w:t>
      </w:r>
    </w:p>
    <w:p w:rsidR="00000000" w:rsidDel="00000000" w:rsidP="00000000" w:rsidRDefault="00000000" w:rsidRPr="00000000" w14:paraId="00000004">
      <w:pPr>
        <w:spacing w:before="240" w:lineRule="auto"/>
        <w:ind w:left="2160" w:firstLine="0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Rule="auto"/>
        <w:ind w:left="2160" w:firstLine="0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Rule="auto"/>
        <w:ind w:left="2160" w:firstLine="0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Rule="auto"/>
        <w:ind w:left="2160" w:firstLine="0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240" w:lineRule="auto"/>
        <w:ind w:right="160"/>
        <w:jc w:val="right"/>
        <w:rPr>
          <w:rFonts w:ascii="Times New Roman" w:cs="Times New Roman" w:eastAsia="Times New Roman" w:hAnsi="Times New Roman"/>
          <w:b w:val="1"/>
          <w:color w:val="6363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20"/>
          <w:szCs w:val="20"/>
          <w:rtl w:val="0"/>
        </w:rPr>
        <w:t xml:space="preserve"> Zeta team</w:t>
      </w:r>
    </w:p>
    <w:p w:rsidR="00000000" w:rsidDel="00000000" w:rsidP="00000000" w:rsidRDefault="00000000" w:rsidRPr="00000000" w14:paraId="00000013">
      <w:pPr>
        <w:spacing w:after="120" w:before="120" w:line="240" w:lineRule="auto"/>
        <w:ind w:right="160"/>
        <w:jc w:val="right"/>
        <w:rPr>
          <w:rFonts w:ascii="Times New Roman" w:cs="Times New Roman" w:eastAsia="Times New Roman" w:hAnsi="Times New Roman"/>
          <w:b w:val="1"/>
          <w:color w:val="6363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20"/>
          <w:szCs w:val="20"/>
          <w:rtl w:val="0"/>
        </w:rPr>
        <w:t xml:space="preserve">Version 1.0</w:t>
      </w:r>
    </w:p>
    <w:p w:rsidR="00000000" w:rsidDel="00000000" w:rsidP="00000000" w:rsidRDefault="00000000" w:rsidRPr="00000000" w14:paraId="00000014">
      <w:pPr>
        <w:spacing w:after="120" w:before="120" w:line="240" w:lineRule="auto"/>
        <w:ind w:right="160"/>
        <w:jc w:val="right"/>
        <w:rPr>
          <w:rFonts w:ascii="Times New Roman" w:cs="Times New Roman" w:eastAsia="Times New Roman" w:hAnsi="Times New Roman"/>
          <w:b w:val="1"/>
          <w:color w:val="6363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20"/>
          <w:szCs w:val="20"/>
          <w:rtl w:val="0"/>
        </w:rPr>
        <w:t xml:space="preserve">Effective Date: Feb 2024</w:t>
      </w:r>
    </w:p>
    <w:p w:rsidR="00000000" w:rsidDel="00000000" w:rsidP="00000000" w:rsidRDefault="00000000" w:rsidRPr="00000000" w14:paraId="00000015">
      <w:pPr>
        <w:spacing w:before="240" w:lineRule="auto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240" w:lineRule="auto"/>
        <w:ind w:left="-360" w:right="-100" w:firstLine="0"/>
        <w:rPr>
          <w:rFonts w:ascii="Times New Roman" w:cs="Times New Roman" w:eastAsia="Times New Roman" w:hAnsi="Times New Roman"/>
          <w:b w:val="1"/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="240" w:lineRule="auto"/>
        <w:ind w:left="-360" w:right="-100" w:firstLine="0"/>
        <w:rPr>
          <w:rFonts w:ascii="Times New Roman" w:cs="Times New Roman" w:eastAsia="Times New Roman" w:hAnsi="Times New Roman"/>
          <w:b w:val="1"/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40" w:line="259" w:lineRule="auto"/>
        <w:rPr>
          <w:rFonts w:ascii="Times New Roman" w:cs="Times New Roman" w:eastAsia="Times New Roman" w:hAnsi="Times New Roman"/>
          <w:b w:val="1"/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40" w:line="259" w:lineRule="auto"/>
        <w:rPr>
          <w:rFonts w:ascii="Times New Roman" w:cs="Times New Roman" w:eastAsia="Times New Roman" w:hAnsi="Times New Roman"/>
          <w:b w:val="1"/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240" w:line="259" w:lineRule="auto"/>
        <w:rPr>
          <w:rFonts w:ascii="Times New Roman" w:cs="Times New Roman" w:eastAsia="Times New Roman" w:hAnsi="Times New Roman"/>
          <w:b w:val="1"/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="259" w:lineRule="auto"/>
        <w:rPr>
          <w:b w:val="1"/>
          <w:color w:val="2e75b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2e75b5"/>
          <w:sz w:val="28"/>
          <w:szCs w:val="28"/>
          <w:rtl w:val="0"/>
        </w:rPr>
        <w:t xml:space="preserve">Contents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 Control</w:t>
            </w:r>
          </w:hyperlink>
          <w:hyperlink w:anchor="_gjdgx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Scope &amp; Applicability</w:t>
            </w:r>
          </w:hyperlink>
          <w:hyperlink w:anchor="_30j0zl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Assumptions</w:t>
            </w:r>
          </w:hyperlink>
          <w:hyperlink w:anchor="_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Dependency</w:t>
            </w:r>
          </w:hyperlink>
          <w:hyperlink w:anchor="_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</w:r>
          </w:hyperlink>
          <w:hyperlink w:anchor="_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SLA Definitions</w:t>
            </w:r>
          </w:hyperlink>
          <w:hyperlink w:anchor="_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 Description</w:t>
            </w:r>
          </w:hyperlink>
          <w:hyperlink w:anchor="_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1t3h5sf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_1t3h5sf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Cashback Process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76" w:lineRule="auto"/>
            <w:ind w:left="66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Process Steps</w:t>
            </w:r>
          </w:hyperlink>
          <w:hyperlink w:anchor="_4d34o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2s8eyo1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_2s8eyo1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Acknowledgement Files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17dp8vu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_17dp8vu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Accounting Entries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3rdcrjn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_3rdcrjn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Bank Funded Cashback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26in1rg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_26in1rg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Merchant Funded Cashback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660"/>
              <w:tab w:val="right" w:leader="do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lnxbz9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_lnxbz9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Co-Funded Cashback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5"/>
              <w:tab w:val="right" w:leader="dot" w:pos="9360"/>
            </w:tabs>
            <w:spacing w:after="10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ff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tabs>
          <w:tab w:val="right" w:leader="none" w:pos="9360"/>
        </w:tabs>
        <w:spacing w:after="80" w:before="60" w:line="240" w:lineRule="auto"/>
        <w:ind w:left="1080" w:firstLine="0"/>
        <w:rPr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Version Control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585"/>
        <w:gridCol w:w="1395"/>
        <w:gridCol w:w="4815"/>
        <w:gridCol w:w="1380"/>
        <w:gridCol w:w="1185"/>
        <w:tblGridChange w:id="0">
          <w:tblGrid>
            <w:gridCol w:w="585"/>
            <w:gridCol w:w="1395"/>
            <w:gridCol w:w="4815"/>
            <w:gridCol w:w="1380"/>
            <w:gridCol w:w="1185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Ver No.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Summary of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Created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12-Feb-24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Document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>
          <w:b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Scope &amp; Applicability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before="28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Scope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Eligible cashback program for Zapp Credit. This shall include Merchant funded, Bank funded or Co-funded cashbacks.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before="28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Applicability</w:t>
      </w:r>
    </w:p>
    <w:p w:rsidR="00000000" w:rsidDel="00000000" w:rsidP="00000000" w:rsidRDefault="00000000" w:rsidRPr="00000000" w14:paraId="00000040">
      <w:pPr>
        <w:spacing w:before="240" w:lineRule="auto"/>
        <w:rPr/>
      </w:pPr>
      <w:r w:rsidDel="00000000" w:rsidR="00000000" w:rsidRPr="00000000">
        <w:rPr>
          <w:rtl w:val="0"/>
        </w:rPr>
        <w:t xml:space="preserve">Zeta Banking Ops, HDFC Ops, HDFC Policy team, HDFC business teams.</w:t>
      </w:r>
    </w:p>
    <w:p w:rsidR="00000000" w:rsidDel="00000000" w:rsidP="00000000" w:rsidRDefault="00000000" w:rsidRPr="00000000" w14:paraId="00000041">
      <w:pPr>
        <w:pStyle w:val="Heading1"/>
        <w:rPr>
          <w:b w:val="1"/>
        </w:rPr>
      </w:pPr>
      <w:bookmarkStart w:colFirst="0" w:colLast="0" w:name="_1fob9te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steps for the Cashback program shall reside with the bank.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Approvals from Fincon &amp; business group head.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the Cashback program.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Winner base preparation.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 shall ensure the correctness of the Cashback file placed for Zeta to process.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Zeta shall share the acknowledgement files as and when </w:t>
      </w:r>
      <w:r w:rsidDel="00000000" w:rsidR="00000000" w:rsidRPr="00000000">
        <w:rPr>
          <w:rtl w:val="0"/>
        </w:rPr>
        <w:t xml:space="preserve">files are processed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The SOP’s shall be reviewed frequently and shall be updated with the revised process steps/workaround as and when the need arises.</w:t>
      </w:r>
    </w:p>
    <w:p w:rsidR="00000000" w:rsidDel="00000000" w:rsidP="00000000" w:rsidRDefault="00000000" w:rsidRPr="00000000" w14:paraId="0000004A">
      <w:pPr>
        <w:spacing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The amendments shall also include decisions to change the functionality or new discoveries if any that might be required in due course of implementation.</w:t>
      </w:r>
    </w:p>
    <w:p w:rsidR="00000000" w:rsidDel="00000000" w:rsidP="00000000" w:rsidRDefault="00000000" w:rsidRPr="00000000" w14:paraId="0000004B">
      <w:pPr>
        <w:pStyle w:val="Heading1"/>
        <w:rPr>
          <w:b w:val="1"/>
        </w:rPr>
      </w:pPr>
      <w:bookmarkStart w:colFirst="0" w:colLast="0" w:name="_3znysh7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Dependency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Cashback file formats.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file format shall include all variables that might determine the execution.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SFTP path where files shall be placed for Zeta to pick up the transactions for processing.</w:t>
      </w:r>
    </w:p>
    <w:p w:rsidR="00000000" w:rsidDel="00000000" w:rsidP="00000000" w:rsidRDefault="00000000" w:rsidRPr="00000000" w14:paraId="00000050">
      <w:pPr>
        <w:pStyle w:val="Heading1"/>
        <w:rPr>
          <w:b w:val="1"/>
          <w:sz w:val="24"/>
          <w:szCs w:val="24"/>
        </w:rPr>
      </w:pPr>
      <w:bookmarkStart w:colFirst="0" w:colLast="0" w:name="_2et92p0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Objectives</w:t>
      </w:r>
    </w:p>
    <w:p w:rsidR="00000000" w:rsidDel="00000000" w:rsidP="00000000" w:rsidRDefault="00000000" w:rsidRPr="00000000" w14:paraId="00000051">
      <w:pPr>
        <w:spacing w:before="240" w:lineRule="auto"/>
        <w:rPr/>
      </w:pPr>
      <w:r w:rsidDel="00000000" w:rsidR="00000000" w:rsidRPr="00000000">
        <w:rPr>
          <w:rtl w:val="0"/>
        </w:rPr>
        <w:t xml:space="preserve">The objective of this document is to define a robust process to manage cashback process and execution of such requests in Turbo.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Process Flow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Process Steps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SLAs</w:t>
      </w:r>
    </w:p>
    <w:p w:rsidR="00000000" w:rsidDel="00000000" w:rsidP="00000000" w:rsidRDefault="00000000" w:rsidRPr="00000000" w14:paraId="00000055">
      <w:pPr>
        <w:pStyle w:val="Heading1"/>
        <w:rPr>
          <w:b w:val="1"/>
          <w:sz w:val="24"/>
          <w:szCs w:val="24"/>
        </w:rPr>
      </w:pPr>
      <w:bookmarkStart w:colFirst="0" w:colLast="0" w:name="_tyjcwt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SLA Definitions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7335"/>
        <w:tblGridChange w:id="0">
          <w:tblGrid>
            <w:gridCol w:w="1965"/>
            <w:gridCol w:w="7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values represent Issuer’s tolerable threshold service levels against the corresponding SLA Item. Service level deviation for an SLA Item beyond this threshold value shall give rise to escalation.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Office Hours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Office hours are defined as</w:t>
            </w: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9</w:t>
            </w: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hours between 9:00 am to 5:00 pm during the 5 working days a week, i.e. from Monday to Friday except for any public holidays.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SLAs are defined in T+n working days.</w:t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rPr>
          <w:b w:val="1"/>
          <w:sz w:val="24"/>
          <w:szCs w:val="24"/>
        </w:rPr>
      </w:pPr>
      <w:bookmarkStart w:colFirst="0" w:colLast="0" w:name="_3dy6vkm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Process Description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below processes outline the Cashback flow and its handling by Zeta teams and HDFC.</w:t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2"/>
        </w:numPr>
        <w:ind w:left="540" w:hanging="360"/>
        <w:rPr>
          <w:b w:val="1"/>
          <w:sz w:val="24"/>
          <w:szCs w:val="24"/>
        </w:rPr>
      </w:pPr>
      <w:bookmarkStart w:colFirst="0" w:colLast="0" w:name="_1t3h5sf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Cashback Process</w:t>
      </w:r>
    </w:p>
    <w:p w:rsidR="00000000" w:rsidDel="00000000" w:rsidP="00000000" w:rsidRDefault="00000000" w:rsidRPr="00000000" w14:paraId="00000061">
      <w:pPr>
        <w:pStyle w:val="Heading4"/>
        <w:ind w:left="403" w:firstLine="0"/>
        <w:rPr>
          <w:b w:val="1"/>
          <w:color w:val="434343"/>
          <w:sz w:val="22"/>
          <w:szCs w:val="22"/>
        </w:rPr>
      </w:pPr>
      <w:bookmarkStart w:colFirst="0" w:colLast="0" w:name="_4d34og8" w:id="8"/>
      <w:bookmarkEnd w:id="8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1.1 Process Steps</w:t>
      </w:r>
    </w:p>
    <w:tbl>
      <w:tblPr>
        <w:tblStyle w:val="Table3"/>
        <w:tblW w:w="9737.0" w:type="dxa"/>
        <w:jc w:val="left"/>
        <w:tblInd w:w="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3"/>
        <w:gridCol w:w="4857"/>
        <w:gridCol w:w="1440"/>
        <w:gridCol w:w="810"/>
        <w:gridCol w:w="1467"/>
        <w:tblGridChange w:id="0">
          <w:tblGrid>
            <w:gridCol w:w="1163"/>
            <w:gridCol w:w="4857"/>
            <w:gridCol w:w="1440"/>
            <w:gridCol w:w="810"/>
            <w:gridCol w:w="1467"/>
          </w:tblGrid>
        </w:tblGridChange>
      </w:tblGrid>
      <w:tr>
        <w:trPr>
          <w:cantSplit w:val="0"/>
          <w:trHeight w:val="243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Team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Remarks</w:t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Cashback file is prepared and shared to the designated SFTP folder for Zeta to consume.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HDFC Ops/HDFC 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Cashback file is picked up and processed by Zeta system.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Zeta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Cashback credited to the customer’s account for the eligible records.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Zeta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Flexcube hands off file is generated for the cashbacks posted to the customer’s accounts post EOD.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Zeta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numPr>
          <w:ilvl w:val="0"/>
          <w:numId w:val="2"/>
        </w:numPr>
        <w:ind w:left="540" w:hanging="360"/>
        <w:rPr>
          <w:b w:val="1"/>
          <w:sz w:val="24"/>
          <w:szCs w:val="24"/>
        </w:rPr>
      </w:pPr>
      <w:bookmarkStart w:colFirst="0" w:colLast="0" w:name="_2s8eyo1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Acknowledgement Files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Acknowledgement file shall be generated for each file placed.</w:t>
      </w:r>
    </w:p>
    <w:p w:rsidR="00000000" w:rsidDel="00000000" w:rsidP="00000000" w:rsidRDefault="00000000" w:rsidRPr="00000000" w14:paraId="0000007F">
      <w:pPr>
        <w:pStyle w:val="Heading1"/>
        <w:numPr>
          <w:ilvl w:val="0"/>
          <w:numId w:val="2"/>
        </w:numPr>
        <w:ind w:left="540" w:hanging="360"/>
        <w:rPr>
          <w:b w:val="1"/>
          <w:sz w:val="24"/>
          <w:szCs w:val="24"/>
        </w:rPr>
      </w:pPr>
      <w:bookmarkStart w:colFirst="0" w:colLast="0" w:name="_17dp8vu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Accounting Entries</w:t>
      </w:r>
    </w:p>
    <w:p w:rsidR="00000000" w:rsidDel="00000000" w:rsidP="00000000" w:rsidRDefault="00000000" w:rsidRPr="00000000" w14:paraId="00000080">
      <w:pPr>
        <w:pStyle w:val="Heading1"/>
        <w:numPr>
          <w:ilvl w:val="1"/>
          <w:numId w:val="8"/>
        </w:numPr>
        <w:ind w:left="900" w:hanging="360"/>
        <w:rPr>
          <w:b w:val="1"/>
          <w:sz w:val="24"/>
          <w:szCs w:val="24"/>
        </w:rPr>
      </w:pPr>
      <w:bookmarkStart w:colFirst="0" w:colLast="0" w:name="_3rdcrjn" w:id="11"/>
      <w:bookmarkEnd w:id="11"/>
      <w:r w:rsidDel="00000000" w:rsidR="00000000" w:rsidRPr="00000000">
        <w:rPr>
          <w:b w:val="1"/>
          <w:sz w:val="24"/>
          <w:szCs w:val="24"/>
          <w:rtl w:val="0"/>
        </w:rPr>
        <w:t xml:space="preserve"> Bank Funded Cashback</w:t>
      </w:r>
    </w:p>
    <w:tbl>
      <w:tblPr>
        <w:tblStyle w:val="Table4"/>
        <w:tblW w:w="7585.0" w:type="dxa"/>
        <w:jc w:val="left"/>
        <w:tblInd w:w="325.0" w:type="dxa"/>
        <w:tblLayout w:type="fixed"/>
        <w:tblLook w:val="0400"/>
      </w:tblPr>
      <w:tblGrid>
        <w:gridCol w:w="800"/>
        <w:gridCol w:w="2640"/>
        <w:gridCol w:w="1985"/>
        <w:gridCol w:w="2160"/>
        <w:tblGridChange w:id="0">
          <w:tblGrid>
            <w:gridCol w:w="800"/>
            <w:gridCol w:w="2640"/>
            <w:gridCol w:w="1985"/>
            <w:gridCol w:w="2160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Sl.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Debit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Credit Ledger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Cashback Expense A/C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Cardholder A/C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Cashback Issuance</w:t>
            </w:r>
          </w:p>
        </w:tc>
      </w:tr>
    </w:tbl>
    <w:p w:rsidR="00000000" w:rsidDel="00000000" w:rsidP="00000000" w:rsidRDefault="00000000" w:rsidRPr="00000000" w14:paraId="00000089">
      <w:pPr>
        <w:ind w:left="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numPr>
          <w:ilvl w:val="1"/>
          <w:numId w:val="8"/>
        </w:numPr>
        <w:ind w:left="900" w:hanging="360"/>
        <w:rPr>
          <w:b w:val="1"/>
          <w:sz w:val="24"/>
          <w:szCs w:val="24"/>
        </w:rPr>
      </w:pPr>
      <w:bookmarkStart w:colFirst="0" w:colLast="0" w:name="_26in1rg" w:id="12"/>
      <w:bookmarkEnd w:id="12"/>
      <w:r w:rsidDel="00000000" w:rsidR="00000000" w:rsidRPr="00000000">
        <w:rPr>
          <w:b w:val="1"/>
          <w:sz w:val="24"/>
          <w:szCs w:val="24"/>
          <w:rtl w:val="0"/>
        </w:rPr>
        <w:t xml:space="preserve"> Merchant Funded Cashback</w:t>
      </w:r>
    </w:p>
    <w:tbl>
      <w:tblPr>
        <w:tblStyle w:val="Table5"/>
        <w:tblW w:w="8780.0" w:type="dxa"/>
        <w:jc w:val="left"/>
        <w:tblInd w:w="570.0" w:type="dxa"/>
        <w:tblLayout w:type="fixed"/>
        <w:tblLook w:val="0400"/>
      </w:tblPr>
      <w:tblGrid>
        <w:gridCol w:w="860"/>
        <w:gridCol w:w="2580"/>
        <w:gridCol w:w="1920"/>
        <w:gridCol w:w="3420"/>
        <w:tblGridChange w:id="0">
          <w:tblGrid>
            <w:gridCol w:w="860"/>
            <w:gridCol w:w="2580"/>
            <w:gridCol w:w="1920"/>
            <w:gridCol w:w="3420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Sl.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Debit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Credit Ledger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Cashback Expense A/C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Cardholder A/C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Cashback Issuance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Merchant receivable A/C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Income A/C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Cashback funding from the merchant. (As per configuration)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Merchant receivable A/C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GST A/C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GST payable. (As per configuration)</w:t>
            </w:r>
          </w:p>
        </w:tc>
      </w:tr>
    </w:tbl>
    <w:p w:rsidR="00000000" w:rsidDel="00000000" w:rsidP="00000000" w:rsidRDefault="00000000" w:rsidRPr="00000000" w14:paraId="0000009C">
      <w:pPr>
        <w:pStyle w:val="Heading1"/>
        <w:numPr>
          <w:ilvl w:val="1"/>
          <w:numId w:val="8"/>
        </w:numPr>
        <w:ind w:left="900" w:hanging="360"/>
        <w:rPr>
          <w:b w:val="1"/>
          <w:sz w:val="24"/>
          <w:szCs w:val="24"/>
        </w:rPr>
      </w:pPr>
      <w:bookmarkStart w:colFirst="0" w:colLast="0" w:name="_lnxbz9" w:id="13"/>
      <w:bookmarkEnd w:id="13"/>
      <w:r w:rsidDel="00000000" w:rsidR="00000000" w:rsidRPr="00000000">
        <w:rPr>
          <w:b w:val="1"/>
          <w:sz w:val="24"/>
          <w:szCs w:val="24"/>
          <w:rtl w:val="0"/>
        </w:rPr>
        <w:t xml:space="preserve"> Co-Funded Cashback</w:t>
      </w:r>
    </w:p>
    <w:tbl>
      <w:tblPr>
        <w:tblStyle w:val="Table6"/>
        <w:tblW w:w="8770.0" w:type="dxa"/>
        <w:jc w:val="left"/>
        <w:tblInd w:w="580.0" w:type="dxa"/>
        <w:tblLayout w:type="fixed"/>
        <w:tblLook w:val="0400"/>
      </w:tblPr>
      <w:tblGrid>
        <w:gridCol w:w="800"/>
        <w:gridCol w:w="2640"/>
        <w:gridCol w:w="1620"/>
        <w:gridCol w:w="3710"/>
        <w:tblGridChange w:id="0">
          <w:tblGrid>
            <w:gridCol w:w="800"/>
            <w:gridCol w:w="2640"/>
            <w:gridCol w:w="1620"/>
            <w:gridCol w:w="3710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Sl.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Debit Ledger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Credit Ledger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Cashback Expense A/C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Cardholder A/C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Cashback Issuance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Merchant receivable A/C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Income A/C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Funding from the merchant. As per the % definition in the configuration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Merchant receivable A/C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GST A/C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GST payable. As per the % definition in the configuration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Note (for 3.3)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%age that shall be borne by the merchant shall be a definition in the cashback configuration and shall be a available in the cashback file shared.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definition shall also include details to confirm if the GST portion is a subset of the cashback funded or over and above. Sample illustrations below.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Sample illustration 1: Merchant contribution 50% including GST</w:t>
      </w:r>
    </w:p>
    <w:tbl>
      <w:tblPr>
        <w:tblStyle w:val="Table7"/>
        <w:tblW w:w="9200.0" w:type="dxa"/>
        <w:jc w:val="left"/>
        <w:tblInd w:w="660.0" w:type="dxa"/>
        <w:tblLayout w:type="fixed"/>
        <w:tblLook w:val="0400"/>
      </w:tblPr>
      <w:tblGrid>
        <w:gridCol w:w="870"/>
        <w:gridCol w:w="970"/>
        <w:gridCol w:w="870"/>
        <w:gridCol w:w="970"/>
        <w:gridCol w:w="973"/>
        <w:gridCol w:w="867"/>
        <w:gridCol w:w="818"/>
        <w:gridCol w:w="1022"/>
        <w:gridCol w:w="870"/>
        <w:gridCol w:w="970"/>
        <w:tblGridChange w:id="0">
          <w:tblGrid>
            <w:gridCol w:w="870"/>
            <w:gridCol w:w="970"/>
            <w:gridCol w:w="870"/>
            <w:gridCol w:w="970"/>
            <w:gridCol w:w="973"/>
            <w:gridCol w:w="867"/>
            <w:gridCol w:w="818"/>
            <w:gridCol w:w="1022"/>
            <w:gridCol w:w="870"/>
            <w:gridCol w:w="97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b7dde8" w:val="clear"/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Card O/S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7dde8" w:val="clear"/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Cashback Expense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7dde8" w:val="clear"/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Merchant receivable account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7dde8" w:val="clear"/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Income A/C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7dde8" w:val="clear"/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GST A/C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b7dde8" w:val="clear"/>
            <w:vAlign w:val="bottom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7dde8" w:val="clear"/>
            <w:vAlign w:val="bottom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7dde8" w:val="clear"/>
            <w:vAlign w:val="bottom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7dde8" w:val="clear"/>
            <w:vAlign w:val="bottom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7dde8" w:val="clear"/>
            <w:vAlign w:val="bottom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7dde8" w:val="clear"/>
            <w:vAlign w:val="bottom"/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7dde8" w:val="clear"/>
            <w:vAlign w:val="bottom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7dde8" w:val="clear"/>
            <w:vAlign w:val="bottom"/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7dde8" w:val="clear"/>
            <w:vAlign w:val="bottom"/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7dde8" w:val="clear"/>
            <w:vAlign w:val="bottom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Credit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8">
            <w:pPr>
              <w:spacing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9">
            <w:pPr>
              <w:spacing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F">
            <w:pPr>
              <w:spacing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423.73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2">
            <w:pPr>
              <w:spacing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423.73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spacing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76.27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E">
            <w:pPr>
              <w:spacing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76.27</w:t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Sample illustration 2: Merchant contribution 50% excluding GST</w:t>
      </w:r>
    </w:p>
    <w:tbl>
      <w:tblPr>
        <w:tblStyle w:val="Table8"/>
        <w:tblW w:w="9200.0" w:type="dxa"/>
        <w:jc w:val="left"/>
        <w:tblInd w:w="640.0" w:type="dxa"/>
        <w:tblLayout w:type="fixed"/>
        <w:tblLook w:val="0400"/>
      </w:tblPr>
      <w:tblGrid>
        <w:gridCol w:w="870"/>
        <w:gridCol w:w="970"/>
        <w:gridCol w:w="870"/>
        <w:gridCol w:w="970"/>
        <w:gridCol w:w="973"/>
        <w:gridCol w:w="867"/>
        <w:gridCol w:w="818"/>
        <w:gridCol w:w="1022"/>
        <w:gridCol w:w="870"/>
        <w:gridCol w:w="970"/>
        <w:tblGridChange w:id="0">
          <w:tblGrid>
            <w:gridCol w:w="870"/>
            <w:gridCol w:w="970"/>
            <w:gridCol w:w="870"/>
            <w:gridCol w:w="970"/>
            <w:gridCol w:w="973"/>
            <w:gridCol w:w="867"/>
            <w:gridCol w:w="818"/>
            <w:gridCol w:w="1022"/>
            <w:gridCol w:w="870"/>
            <w:gridCol w:w="970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b7dde8" w:val="clear"/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Card O/S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7dde8" w:val="clear"/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Cashback Expense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7dde8" w:val="clear"/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Merchant receivable account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7dde8" w:val="clear"/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Income A/C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7dde8" w:val="clear"/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GST A/C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b7dde8" w:val="clear"/>
            <w:vAlign w:val="bottom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7dde8" w:val="clear"/>
            <w:vAlign w:val="bottom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7dde8" w:val="clear"/>
            <w:vAlign w:val="bottom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7dde8" w:val="clear"/>
            <w:vAlign w:val="bottom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7dde8" w:val="clear"/>
            <w:vAlign w:val="bottom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7dde8" w:val="clear"/>
            <w:vAlign w:val="bottom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7dde8" w:val="clear"/>
            <w:vAlign w:val="bottom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7dde8" w:val="clear"/>
            <w:vAlign w:val="bottom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7dde8" w:val="clear"/>
            <w:vAlign w:val="bottom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b7dde8" w:val="clear"/>
            <w:vAlign w:val="bottom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Credit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6">
            <w:pPr>
              <w:spacing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spacing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D">
            <w:pPr>
              <w:spacing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spacing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500.00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spacing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90.00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spacing w:line="240" w:lineRule="auto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90.00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4" name="image4.png"/>
              <a:graphic>
                <a:graphicData uri="http://schemas.openxmlformats.org/drawingml/2006/picture">
                  <pic:pic>
                    <pic:nvPicPr>
                      <pic:cNvPr descr="Classification - Restricted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6" name="image6.png"/>
              <a:graphic>
                <a:graphicData uri="http://schemas.openxmlformats.org/drawingml/2006/picture">
                  <pic:pic>
                    <pic:nvPicPr>
                      <pic:cNvPr descr="Classification - Restricted"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5" name="image5.png"/>
              <a:graphic>
                <a:graphicData uri="http://schemas.openxmlformats.org/drawingml/2006/picture">
                  <pic:pic>
                    <pic:nvPicPr>
                      <pic:cNvPr descr="Classification - Restricted"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3" name="image3.png"/>
              <a:graphic>
                <a:graphicData uri="http://schemas.openxmlformats.org/drawingml/2006/picture">
                  <pic:pic>
                    <pic:nvPicPr>
                      <pic:cNvPr descr="Classification - Restricted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" name="image1.png"/>
              <a:graphic>
                <a:graphicData uri="http://schemas.openxmlformats.org/drawingml/2006/picture">
                  <pic:pic>
                    <pic:nvPicPr>
                      <pic:cNvPr descr="Classification - Restricted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2" name="image2.png"/>
              <a:graphic>
                <a:graphicData uri="http://schemas.openxmlformats.org/drawingml/2006/picture">
                  <pic:pic>
                    <pic:nvPicPr>
                      <pic:cNvPr descr="Classification - Restricted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90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700" w:hanging="1080"/>
      </w:pPr>
      <w:rPr/>
    </w:lvl>
    <w:lvl w:ilvl="4">
      <w:start w:val="1"/>
      <w:numFmt w:val="decimal"/>
      <w:lvlText w:val="%1.%2.%3.%4.%5"/>
      <w:lvlJc w:val="left"/>
      <w:pPr>
        <w:ind w:left="3240" w:hanging="1080"/>
      </w:pPr>
      <w:rPr/>
    </w:lvl>
    <w:lvl w:ilvl="5">
      <w:start w:val="1"/>
      <w:numFmt w:val="decimal"/>
      <w:lvlText w:val="%1.%2.%3.%4.%5.%6"/>
      <w:lvlJc w:val="left"/>
      <w:pPr>
        <w:ind w:left="4140" w:hanging="1440"/>
      </w:pPr>
      <w:rPr/>
    </w:lvl>
    <w:lvl w:ilvl="6">
      <w:start w:val="1"/>
      <w:numFmt w:val="decimal"/>
      <w:lvlText w:val="%1.%2.%3.%4.%5.%6.%7"/>
      <w:lvlJc w:val="left"/>
      <w:pPr>
        <w:ind w:left="4680" w:hanging="1440"/>
      </w:pPr>
      <w:rPr/>
    </w:lvl>
    <w:lvl w:ilvl="7">
      <w:start w:val="1"/>
      <w:numFmt w:val="decimal"/>
      <w:lvlText w:val="%1.%2.%3.%4.%5.%6.%7.%8"/>
      <w:lvlJc w:val="left"/>
      <w:pPr>
        <w:ind w:left="5580" w:hanging="1800"/>
      </w:pPr>
      <w:rPr/>
    </w:lvl>
    <w:lvl w:ilvl="8">
      <w:start w:val="1"/>
      <w:numFmt w:val="decimal"/>
      <w:lvlText w:val="%1.%2.%3.%4.%5.%6.%7.%8.%9"/>
      <w:lvlJc w:val="left"/>
      <w:pPr>
        <w:ind w:left="6120" w:hanging="180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>MediaServiceImageTags</vt:lpwstr>
  </property>
  <property fmtid="{D5CDD505-2E9C-101B-9397-08002B2CF9AE}" pid="3" name="ClassificationContentMarkingHeaderText">
    <vt:lpwstr>Classification - Restricted</vt:lpwstr>
  </property>
  <property fmtid="{D5CDD505-2E9C-101B-9397-08002B2CF9AE}" pid="4" name="MSIP_Label_96dc3acd-eb0e-4370-b090-cfef97c607e6_SiteId">
    <vt:lpwstr>827fd022-05a6-4e57-be9c-cc069b6ae62d</vt:lpwstr>
  </property>
  <property fmtid="{D5CDD505-2E9C-101B-9397-08002B2CF9AE}" pid="5" name="ContentTypeId">
    <vt:lpwstr>0x010100C0FA4F2DB892C2459D6680F69A266680</vt:lpwstr>
  </property>
  <property fmtid="{D5CDD505-2E9C-101B-9397-08002B2CF9AE}" pid="6" name="ClassificationContentMarkingFooterShapeIds">
    <vt:lpwstr>4,5,6</vt:lpwstr>
  </property>
  <property fmtid="{D5CDD505-2E9C-101B-9397-08002B2CF9AE}" pid="7" name="ClassificationContentMarkingFooterText">
    <vt:lpwstr>Classification - Restricted</vt:lpwstr>
  </property>
  <property fmtid="{D5CDD505-2E9C-101B-9397-08002B2CF9AE}" pid="8" name="MSIP_Label_96dc3acd-eb0e-4370-b090-cfef97c607e6_Name">
    <vt:lpwstr>Restricted (Highly Confidential)!</vt:lpwstr>
  </property>
  <property fmtid="{D5CDD505-2E9C-101B-9397-08002B2CF9AE}" pid="9" name="MSIP_Label_96dc3acd-eb0e-4370-b090-cfef97c607e6_Method">
    <vt:lpwstr>Privileged</vt:lpwstr>
  </property>
  <property fmtid="{D5CDD505-2E9C-101B-9397-08002B2CF9AE}" pid="10" name="ClassificationContentMarkingHeaderFontProps">
    <vt:lpwstr>#000000,11,Calibri</vt:lpwstr>
  </property>
  <property fmtid="{D5CDD505-2E9C-101B-9397-08002B2CF9AE}" pid="11" name="MSIP_Label_96dc3acd-eb0e-4370-b090-cfef97c607e6_SetDate">
    <vt:lpwstr>2022-10-14T05:52:22Z</vt:lpwstr>
  </property>
  <property fmtid="{D5CDD505-2E9C-101B-9397-08002B2CF9AE}" pid="12" name="MSIP_Label_96dc3acd-eb0e-4370-b090-cfef97c607e6_ContentBits">
    <vt:lpwstr>3</vt:lpwstr>
  </property>
  <property fmtid="{D5CDD505-2E9C-101B-9397-08002B2CF9AE}" pid="13" name="ClassificationContentMarkingFooterFontProps">
    <vt:lpwstr>#000000,11,Calibri</vt:lpwstr>
  </property>
  <property fmtid="{D5CDD505-2E9C-101B-9397-08002B2CF9AE}" pid="14" name="MSIP_Label_96dc3acd-eb0e-4370-b090-cfef97c607e6_ActionId">
    <vt:lpwstr>b38b3c1c-61fd-44d2-b692-47b22a543d0e</vt:lpwstr>
  </property>
  <property fmtid="{D5CDD505-2E9C-101B-9397-08002B2CF9AE}" pid="15" name="ClassificationContentMarkingHeaderShapeIds">
    <vt:lpwstr>1,2,3</vt:lpwstr>
  </property>
  <property fmtid="{D5CDD505-2E9C-101B-9397-08002B2CF9AE}" pid="16" name="MSIP_Label_96dc3acd-eb0e-4370-b090-cfef97c607e6_Enabled">
    <vt:lpwstr>true</vt:lpwstr>
  </property>
</Properties>
</file>