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IBM Plex Sans" w:hAnsi="IBM Plex Sans"/>
          <w:b/>
          <w:color w:val="0F62FE"/>
          <w:sz w:val="56"/>
        </w:rPr>
        <w:t>Research findings report</w:t>
      </w:r>
    </w:p>
    <w:p>
      <w:pPr>
        <w:spacing w:after="120"/>
        <w:pBdr>
          <w:bottom w:val="single" w:sz="8" w:space="6" w:color="0F62FE"/>
        </w:pBdr>
      </w:pPr>
      <w:r>
        <w:rPr>
          <w:rFonts w:ascii="IBM Plex Sans" w:hAnsi="IBM Plex Sans"/>
          <w:b/>
          <w:color w:val="525252"/>
          <w:sz w:val="32"/>
        </w:rPr>
        <w:t>Template</w:t>
      </w:r>
    </w:p>
    <w:p>
      <w:pPr>
        <w:spacing w:before="60" w:after="100"/>
      </w:pPr>
      <w:r>
        <w:rPr>
          <w:rFonts w:ascii="IBM Plex Sans" w:hAnsi="IBM Plex Sans"/>
          <w:color w:val="161616"/>
        </w:rPr>
        <w:t xml:space="preserve">A 3–5 page body plus appendix, findings-first: the reader gets the answer before the evidence. Everything in it renders from passed findings records; if a claim, quote, or count is not in a record, it does not go in the report. §4.8 of </w:t>
      </w:r>
      <w:r>
        <w:rPr>
          <w:rFonts w:ascii="IBM Plex Mono" w:hAnsi="IBM Plex Mono"/>
          <w:color w:val="161616"/>
        </w:rPr>
        <w:t>EVALUATION-LOOP.md</w:t>
      </w:r>
      <w:r>
        <w:rPr>
          <w:rFonts w:ascii="IBM Plex Sans" w:hAnsi="IBM Plex Sans"/>
          <w:color w:val="161616"/>
        </w:rPr>
        <w:t xml:space="preserve"> is the Definition of Done, and </w:t>
      </w:r>
      <w:r>
        <w:rPr>
          <w:rFonts w:ascii="IBM Plex Mono" w:hAnsi="IBM Plex Mono"/>
          <w:color w:val="161616"/>
        </w:rPr>
        <w:t>skills/research-findings-report</w:t>
      </w:r>
      <w:r>
        <w:rPr>
          <w:rFonts w:ascii="IBM Plex Sans" w:hAnsi="IBM Plex Sans"/>
          <w:color w:val="161616"/>
        </w:rPr>
        <w:t xml:space="preserve"> carries the full section recipes if you want more depth on any part.</w:t>
      </w:r>
    </w:p>
    <w:p>
      <w:pPr>
        <w:spacing w:before="60" w:after="100"/>
      </w:pPr>
      <w:r>
        <w:rPr>
          <w:rFonts w:ascii="IBM Plex Sans" w:hAnsi="IBM Plex Sans"/>
          <w:color w:val="161616"/>
        </w:rPr>
        <w:t>Participants are P-IDs only, always. The one permitted edit inside a verbatim quote is a bracketed substitution such as [P4] replacing a name.</w:t>
      </w:r>
    </w:p>
    <w:p>
      <w:pPr>
        <w:pStyle w:val="Heading1"/>
        <w:keepNext/>
        <w:spacing w:before="280" w:after="120"/>
      </w:pPr>
      <w:r>
        <w:rPr>
          <w:rFonts w:ascii="IBM Plex Sans" w:hAnsi="IBM Plex Sans"/>
          <w:color w:val="0F62FE"/>
        </w:rPr>
        <w:t>Structure</w:t>
      </w:r>
    </w:p>
    <w:p>
      <w:pPr>
        <w:spacing w:before="60" w:after="100"/>
        <w:ind w:left="360"/>
      </w:pPr>
      <w:r>
        <w:rPr>
          <w:rFonts w:ascii="IBM Plex Sans" w:hAnsi="IBM Plex Sans"/>
          <w:color w:val="161616"/>
        </w:rPr>
        <w:t xml:space="preserve">1. </w:t>
      </w:r>
      <w:r>
        <w:rPr>
          <w:rFonts w:ascii="IBM Plex Sans" w:hAnsi="IBM Plex Sans"/>
          <w:b/>
          <w:color w:val="161616"/>
        </w:rPr>
        <w:t>Title page</w:t>
      </w:r>
      <w:r>
        <w:rPr>
          <w:rFonts w:ascii="IBM Plex Sans" w:hAnsi="IBM Plex Sans"/>
          <w:color w:val="161616"/>
        </w:rPr>
        <w:t xml:space="preserve"> — product, "UX Research Findings &amp; Recommendations," contributors with roles, date, and the declared destination tier.</w:t>
      </w:r>
    </w:p>
    <w:p>
      <w:pPr>
        <w:spacing w:before="60" w:after="100"/>
        <w:ind w:left="360"/>
      </w:pPr>
      <w:r>
        <w:rPr>
          <w:rFonts w:ascii="IBM Plex Sans" w:hAnsi="IBM Plex Sans"/>
          <w:color w:val="161616"/>
        </w:rPr>
        <w:t xml:space="preserve">2. </w:t>
      </w:r>
      <w:r>
        <w:rPr>
          <w:rFonts w:ascii="IBM Plex Sans" w:hAnsi="IBM Plex Sans"/>
          <w:b/>
          <w:color w:val="161616"/>
        </w:rPr>
        <w:t>Executive summary</w:t>
      </w:r>
      <w:r>
        <w:rPr>
          <w:rFonts w:ascii="IBM Plex Sans" w:hAnsi="IBM Plex Sans"/>
          <w:color w:val="161616"/>
        </w:rPr>
        <w:t xml:space="preserve"> (≤ half a page) — the headline finding in the first sentence, the decision it informs, then the featured findings as one-liners, each with its count and confidence. This section concludes; it never restates. A reader who stops here leaves with the answer, and the summary would be wrong if the findings were different.</w:t>
      </w:r>
    </w:p>
    <w:p>
      <w:pPr>
        <w:spacing w:before="60" w:after="100"/>
        <w:ind w:left="360"/>
      </w:pPr>
      <w:r>
        <w:rPr>
          <w:rFonts w:ascii="IBM Plex Sans" w:hAnsi="IBM Plex Sans"/>
          <w:color w:val="161616"/>
        </w:rPr>
        <w:t xml:space="preserve">3. </w:t>
      </w:r>
      <w:r>
        <w:rPr>
          <w:rFonts w:ascii="IBM Plex Sans" w:hAnsi="IBM Plex Sans"/>
          <w:b/>
          <w:color w:val="161616"/>
        </w:rPr>
        <w:t>Method note</w:t>
      </w:r>
      <w:r>
        <w:rPr>
          <w:rFonts w:ascii="IBM Plex Sans" w:hAnsi="IBM Plex Sans"/>
          <w:color w:val="161616"/>
        </w:rPr>
        <w:t xml:space="preserve"> (≤ a third of a page) — who, how many, what method, when, and the one or two limits that most constrain the findings. It sits high because a skeptic looks for it before granting the findings anything. Full method detail goes to the appendix.</w:t>
      </w:r>
    </w:p>
    <w:p>
      <w:pPr>
        <w:spacing w:before="60" w:after="100"/>
        <w:ind w:left="360"/>
      </w:pPr>
      <w:r>
        <w:rPr>
          <w:rFonts w:ascii="IBM Plex Sans" w:hAnsi="IBM Plex Sans"/>
          <w:color w:val="161616"/>
        </w:rPr>
        <w:t xml:space="preserve">4. </w:t>
      </w:r>
      <w:r>
        <w:rPr>
          <w:rFonts w:ascii="IBM Plex Sans" w:hAnsi="IBM Plex Sans"/>
          <w:b/>
          <w:color w:val="161616"/>
        </w:rPr>
        <w:t>Findings</w:t>
      </w:r>
      <w:r>
        <w:rPr>
          <w:rFonts w:ascii="IBM Plex Sans" w:hAnsi="IBM Plex Sans"/>
          <w:color w:val="161616"/>
        </w:rPr>
        <w:t xml:space="preserve"> — the featured 3–6, ordered by importance, never by chronology or RQ number. Each finding: the claim as a heading, evidence with exact counts and one verbatim quote, your interpretation marked as yours, then confidence and limits in your own voice. The strongest finding gets the most room; equal-sized sections for unequal evidence is a lie told through layout.</w:t>
      </w:r>
    </w:p>
    <w:p>
      <w:pPr>
        <w:spacing w:before="60" w:after="100"/>
        <w:ind w:left="360"/>
      </w:pPr>
      <w:r>
        <w:rPr>
          <w:rFonts w:ascii="IBM Plex Sans" w:hAnsi="IBM Plex Sans"/>
          <w:color w:val="161616"/>
        </w:rPr>
        <w:t xml:space="preserve">5. </w:t>
      </w:r>
      <w:r>
        <w:rPr>
          <w:rFonts w:ascii="IBM Plex Sans" w:hAnsi="IBM Plex Sans"/>
          <w:b/>
          <w:color w:val="161616"/>
        </w:rPr>
        <w:t>Recommendations</w:t>
      </w:r>
      <w:r>
        <w:rPr>
          <w:rFonts w:ascii="IBM Plex Sans" w:hAnsi="IBM Plex Sans"/>
          <w:color w:val="161616"/>
        </w:rPr>
        <w:t xml:space="preserve"> — numbered; each an action with an owner, its depends_on finding IDs, its horizon label, and its confidence. Rendered as a table so the room can scan it.</w:t>
      </w:r>
    </w:p>
    <w:p>
      <w:pPr>
        <w:spacing w:before="60" w:after="100"/>
        <w:ind w:left="360"/>
      </w:pPr>
      <w:r>
        <w:rPr>
          <w:rFonts w:ascii="IBM Plex Sans" w:hAnsi="IBM Plex Sans"/>
          <w:color w:val="161616"/>
        </w:rPr>
        <w:t xml:space="preserve">6. </w:t>
      </w:r>
      <w:r>
        <w:rPr>
          <w:rFonts w:ascii="IBM Plex Sans" w:hAnsi="IBM Plex Sans"/>
          <w:b/>
          <w:color w:val="161616"/>
        </w:rPr>
        <w:t>What this means for you</w:t>
      </w:r>
      <w:r>
        <w:rPr>
          <w:rFonts w:ascii="IBM Plex Sans" w:hAnsi="IBM Plex Sans"/>
          <w:color w:val="161616"/>
        </w:rPr>
        <w:t xml:space="preserve"> (optional, ≤ a third of a page) — one or two lines per audience (PM, Eng, Design, customer-facing) when the report travels beyond the immediate team. Skip for a small, close team.</w:t>
      </w:r>
    </w:p>
    <w:p>
      <w:pPr>
        <w:spacing w:before="60" w:after="100"/>
        <w:ind w:left="360"/>
      </w:pPr>
      <w:r>
        <w:rPr>
          <w:rFonts w:ascii="IBM Plex Sans" w:hAnsi="IBM Plex Sans"/>
          <w:color w:val="161616"/>
        </w:rPr>
        <w:t xml:space="preserve">7. </w:t>
      </w:r>
      <w:r>
        <w:rPr>
          <w:rFonts w:ascii="IBM Plex Sans" w:hAnsi="IBM Plex Sans"/>
          <w:b/>
          <w:color w:val="161616"/>
        </w:rPr>
        <w:t>Reviewer notes</w:t>
      </w:r>
      <w:r>
        <w:rPr>
          <w:rFonts w:ascii="IBM Plex Sans" w:hAnsi="IBM Plex Sans"/>
          <w:color w:val="161616"/>
        </w:rPr>
        <w:t xml:space="preserve"> — the flags that rode along: unmapped findings retained, research questions left unaddressed, open judgment calls. This is where the study stays honest in public.</w:t>
      </w:r>
    </w:p>
    <w:p>
      <w:pPr>
        <w:spacing w:before="60" w:after="100"/>
        <w:ind w:left="360"/>
      </w:pPr>
      <w:r>
        <w:rPr>
          <w:rFonts w:ascii="IBM Plex Sans" w:hAnsi="IBM Plex Sans"/>
          <w:color w:val="161616"/>
        </w:rPr>
        <w:t xml:space="preserve">8. </w:t>
      </w:r>
      <w:r>
        <w:rPr>
          <w:rFonts w:ascii="IBM Plex Sans" w:hAnsi="IBM Plex Sans"/>
          <w:b/>
          <w:color w:val="161616"/>
        </w:rPr>
        <w:t>Appendix</w:t>
      </w:r>
      <w:r>
        <w:rPr>
          <w:rFonts w:ascii="IBM Plex Sans" w:hAnsi="IBM Plex Sans"/>
          <w:color w:val="161616"/>
        </w:rPr>
        <w:t xml:space="preserve"> (summarized in the document, full content in a companion file) — all findings records including non-featured ones, the RQ coverage matrix, method detail, participant profile, disconfirming evidence, alternatives considered per recommendation.</w:t>
      </w:r>
    </w:p>
    <w:p>
      <w:pPr>
        <w:spacing w:before="60" w:after="100"/>
        <w:ind w:left="360"/>
      </w:pPr>
      <w:r>
        <w:rPr>
          <w:rFonts w:ascii="IBM Plex Sans" w:hAnsi="IBM Plex Sans"/>
          <w:color w:val="161616"/>
        </w:rPr>
        <w:t xml:space="preserve">9. </w:t>
      </w:r>
      <w:r>
        <w:rPr>
          <w:rFonts w:ascii="IBM Plex Sans" w:hAnsi="IBM Plex Sans"/>
          <w:b/>
          <w:color w:val="161616"/>
        </w:rPr>
        <w:t>Additional materials</w:t>
      </w:r>
      <w:r>
        <w:rPr>
          <w:rFonts w:ascii="IBM Plex Sans" w:hAnsi="IBM Plex Sans"/>
          <w:color w:val="161616"/>
        </w:rPr>
        <w:t xml:space="preserve"> — a linked list: each entry a name, one line on what it is and when to open it, a location, and an access note where restricted.</w:t>
      </w:r>
    </w:p>
    <w:p>
      <w:pPr>
        <w:pStyle w:val="Heading1"/>
        <w:keepNext/>
        <w:spacing w:before="280" w:after="120"/>
      </w:pPr>
      <w:r>
        <w:rPr>
          <w:rFonts w:ascii="IBM Plex Sans" w:hAnsi="IBM Plex Sans"/>
          <w:color w:val="0F62FE"/>
        </w:rPr>
        <w:t>Writing rules that do the most work here</w:t>
      </w:r>
    </w:p>
    <w:p>
      <w:pPr>
        <w:spacing w:before="60" w:after="100"/>
      </w:pPr>
      <w:r>
        <w:rPr>
          <w:rFonts w:ascii="IBM Plex Mono" w:hAnsi="IBM Plex Mono"/>
          <w:color w:val="161616"/>
        </w:rPr>
        <w:t>VOICE-AND-STYLE.md</w:t>
      </w:r>
      <w:r>
        <w:rPr>
          <w:rFonts w:ascii="IBM Plex Sans" w:hAnsi="IBM Plex Sans"/>
          <w:color w:val="161616"/>
        </w:rPr>
        <w:t xml:space="preserve"> is the standard; its rubric is what the readability gate scores. The high-leverage items for a report: every quantifier exact ("5 of 8," never "most"); at least one verbatim quote per major finding; at most one hedge per claim; active voice with named actors; confidence and limits stated in your own voice, not only in a table; and no sentence interrupted by an em dash or en dash.</w:t>
      </w:r>
    </w:p>
    <w:p>
      <w:pPr>
        <w:pStyle w:val="Heading1"/>
        <w:keepNext/>
        <w:spacing w:before="280" w:after="120"/>
      </w:pPr>
      <w:r>
        <w:rPr>
          <w:rFonts w:ascii="IBM Plex Sans" w:hAnsi="IBM Plex Sans"/>
          <w:color w:val="0F62FE"/>
        </w:rPr>
        <w:t>Formatting</w:t>
      </w:r>
    </w:p>
    <w:p>
      <w:pPr>
        <w:spacing w:before="60" w:after="100"/>
      </w:pPr>
      <w:r>
        <w:rPr>
          <w:rFonts w:ascii="IBM Plex Sans" w:hAnsi="IBM Plex Sans"/>
          <w:color w:val="161616"/>
        </w:rPr>
        <w:t>Suite documents render in the IBM Carbon scheme (Blue 60 headings, Gray 100 body, IBM Plex Sans). A manual report in the team's standard document template is fine; the structure above is what matters.</w:t>
      </w:r>
    </w:p>
    <w:p>
      <w:pPr>
        <w:pStyle w:val="Heading1"/>
        <w:keepNext/>
        <w:spacing w:before="280" w:after="120"/>
      </w:pPr>
      <w:r>
        <w:rPr>
          <w:rFonts w:ascii="IBM Plex Sans" w:hAnsi="IBM Plex Sans"/>
          <w:color w:val="0F62FE"/>
        </w:rPr>
        <w:t>Before release</w:t>
      </w:r>
    </w:p>
    <w:p>
      <w:pPr>
        <w:spacing w:before="60" w:after="100"/>
      </w:pPr>
      <w:r>
        <w:rPr>
          <w:rFonts w:ascii="IBM Plex Sans" w:hAnsi="IBM Plex Sans"/>
          <w:color w:val="161616"/>
        </w:rPr>
        <w:t>Run the gates in order: safety (at the declared destination tier), synthesis (every claim against records), readability. Then the release sign-off (§11): you read the whole output and made your own edits, and it stays a draft until you have. Edits that move a quote, count, or attribution re-run the synthesis check.</w:t>
      </w:r>
    </w:p>
    <w:p>
      <w:pPr>
        <w:spacing w:before="60" w:after="100"/>
      </w:pPr>
      <w:r>
        <w:rPr>
          <w:rFonts w:ascii="IBM Plex Sans" w:hAnsi="IBM Plex Sans"/>
          <w:i/>
          <w:color w:val="161616"/>
        </w:rPr>
        <w:t>Part of the Dr. Morgan UX research suite. Manual alternative to `skills/research-findings-report`; §4.8 applies either way.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</w:pPr>
    <w:r>
      <w:rPr>
        <w:rFonts w:ascii="IBM Plex Sans" w:hAnsi="IBM Plex Sans"/>
        <w:i/>
        <w:color w:val="525252"/>
        <w:sz w:val="18"/>
      </w:rPr>
      <w:t>Dr. Morgan UX research suite · template</w:t>
    </w:r>
    <w:r>
      <w:tab/>
    </w:r>
    <w:r>
      <w:rPr>
        <w:rFonts w:ascii="IBM Plex Sans" w:hAnsi="IBM Plex Sans"/>
        <w:color w:val="525252"/>
        <w:sz w:val="18"/>
      </w:rPr>
      <w:t xml:space="preserve">Page </w:t>
    </w:r>
    <w:r>
      <w:rPr>
        <w:rFonts w:ascii="IBM Plex Sans" w:hAnsi="IBM Plex Sans"/>
        <w:color w:val="525252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4" w:space="4" w:color="0F62FE"/>
      </w:pBdr>
    </w:pPr>
    <w:r>
      <w:rPr>
        <w:rFonts w:ascii="IBM Plex Sans" w:hAnsi="IBM Plex Sans"/>
        <w:b/>
        <w:color w:val="0F62FE"/>
        <w:sz w:val="18"/>
      </w:rPr>
      <w:t>Secure UX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IBM Plex Sans" w:hAnsi="IBM Plex Sans"/>
      <w:color w:val="16161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