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IBM Plex Sans" w:hAnsi="IBM Plex Sans"/>
          <w:b/>
          <w:color w:val="0F62FE"/>
          <w:sz w:val="56"/>
        </w:rPr>
        <w:t>Research readout deck</w:t>
      </w:r>
    </w:p>
    <w:p>
      <w:pPr>
        <w:spacing w:after="120"/>
        <w:pBdr>
          <w:bottom w:val="single" w:sz="8" w:space="6" w:color="0F62FE"/>
        </w:pBdr>
      </w:pPr>
      <w:r>
        <w:rPr>
          <w:rFonts w:ascii="IBM Plex Sans" w:hAnsi="IBM Plex Sans"/>
          <w:b/>
          <w:color w:val="525252"/>
          <w:sz w:val="32"/>
        </w:rPr>
        <w:t>Template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 xml:space="preserve">Findings-first slides for a mixed PM, Eng, and Design room. The deck renders only what exists in passed findings records; a slide that needs a quote needs the quote to already be in a record. §4.4 of </w:t>
      </w:r>
      <w:r>
        <w:rPr>
          <w:rFonts w:ascii="IBM Plex Mono" w:hAnsi="IBM Plex Mono"/>
          <w:color w:val="161616"/>
        </w:rPr>
        <w:t>EVALUATION-LOOP.md</w:t>
      </w:r>
      <w:r>
        <w:rPr>
          <w:rFonts w:ascii="IBM Plex Sans" w:hAnsi="IBM Plex Sans"/>
          <w:color w:val="161616"/>
        </w:rPr>
        <w:t xml:space="preserve"> is the Definition of Done, and </w:t>
      </w:r>
      <w:r>
        <w:rPr>
          <w:rFonts w:ascii="IBM Plex Mono" w:hAnsi="IBM Plex Mono"/>
          <w:color w:val="161616"/>
        </w:rPr>
        <w:t>skills/research-readout-deck</w:t>
      </w:r>
      <w:r>
        <w:rPr>
          <w:rFonts w:ascii="IBM Plex Sans" w:hAnsi="IBM Plex Sans"/>
          <w:color w:val="161616"/>
        </w:rPr>
        <w:t xml:space="preserve"> carries slide-by-slide recipes.</w:t>
      </w:r>
    </w:p>
    <w:p>
      <w:pPr>
        <w:spacing w:before="60" w:after="100"/>
      </w:pPr>
      <w:r>
        <w:rPr>
          <w:rFonts w:ascii="IBM Plex Sans" w:hAnsi="IBM Plex Sans"/>
          <w:b/>
          <w:color w:val="161616"/>
        </w:rPr>
        <w:t>Slide budget: ~15.</w:t>
      </w:r>
      <w:r>
        <w:rPr>
          <w:rFonts w:ascii="IBM Plex Sans" w:hAnsi="IBM Plex Sans"/>
          <w:color w:val="161616"/>
        </w:rPr>
        <w:t xml:space="preserve"> A readout should be skimmable. The spine when you are at budget: Title, Summary, Recommendations shortlist, one Methodology, Findings summary, the 4–6 strongest evidence slides, one synthesis statement, What's next, Full recommendations list. First cuts when over: standalone Agenda, Context slides, redundant per-participant slides, and standalone quote slides (fold the quote into its evidence slide).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The arc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1. </w:t>
      </w:r>
      <w:r>
        <w:rPr>
          <w:rFonts w:ascii="IBM Plex Sans" w:hAnsi="IBM Plex Sans"/>
          <w:b/>
          <w:color w:val="161616"/>
        </w:rPr>
        <w:t>Title</w:t>
      </w:r>
      <w:r>
        <w:rPr>
          <w:rFonts w:ascii="IBM Plex Sans" w:hAnsi="IBM Plex Sans"/>
          <w:color w:val="161616"/>
        </w:rPr>
        <w:t xml:space="preserve"> — feature name, "UX Research Findings &amp; Recommendations," contributors and roles, date.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2. </w:t>
      </w:r>
      <w:r>
        <w:rPr>
          <w:rFonts w:ascii="IBM Plex Sans" w:hAnsi="IBM Plex Sans"/>
          <w:b/>
          <w:color w:val="161616"/>
        </w:rPr>
        <w:t>Agenda</w:t>
      </w:r>
      <w:r>
        <w:rPr>
          <w:rFonts w:ascii="IBM Plex Sans" w:hAnsi="IBM Plex Sans"/>
          <w:color w:val="161616"/>
        </w:rPr>
        <w:t xml:space="preserve"> — optional at budget.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3. </w:t>
      </w:r>
      <w:r>
        <w:rPr>
          <w:rFonts w:ascii="IBM Plex Sans" w:hAnsi="IBM Plex Sans"/>
          <w:b/>
          <w:color w:val="161616"/>
        </w:rPr>
        <w:t>Context</w:t>
      </w:r>
      <w:r>
        <w:rPr>
          <w:rFonts w:ascii="IBM Plex Sans" w:hAnsi="IBM Plex Sans"/>
          <w:color w:val="161616"/>
        </w:rPr>
        <w:t xml:space="preserve"> (optional) — current vs new state, or what was tested, with a screenshot or two.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4. </w:t>
      </w:r>
      <w:r>
        <w:rPr>
          <w:rFonts w:ascii="IBM Plex Sans" w:hAnsi="IBM Plex Sans"/>
          <w:b/>
          <w:color w:val="161616"/>
        </w:rPr>
        <w:t>Summary</w:t>
      </w:r>
      <w:r>
        <w:rPr>
          <w:rFonts w:ascii="IBM Plex Sans" w:hAnsi="IBM Plex Sans"/>
          <w:color w:val="161616"/>
        </w:rPr>
        <w:t xml:space="preserve"> — three columns: what went well / where it can evolve / how we move forward. Lead with the single headline stat or takeaway.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5. </w:t>
      </w:r>
      <w:r>
        <w:rPr>
          <w:rFonts w:ascii="IBM Plex Sans" w:hAnsi="IBM Plex Sans"/>
          <w:b/>
          <w:color w:val="161616"/>
        </w:rPr>
        <w:t>Recommendations shortlist</w:t>
      </w:r>
      <w:r>
        <w:rPr>
          <w:rFonts w:ascii="IBM Plex Sans" w:hAnsi="IBM Plex Sans"/>
          <w:color w:val="161616"/>
        </w:rPr>
        <w:t xml:space="preserve"> — the 3–6 that matter most, numbered, key phrase bolded.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6. </w:t>
      </w:r>
      <w:r>
        <w:rPr>
          <w:rFonts w:ascii="IBM Plex Sans" w:hAnsi="IBM Plex Sans"/>
          <w:b/>
          <w:color w:val="161616"/>
        </w:rPr>
        <w:t>Findings, per method:</w:t>
      </w:r>
    </w:p>
    <w:p>
      <w:pPr>
        <w:pStyle w:val="ListBullet2"/>
        <w:spacing w:after="40"/>
      </w:pPr>
      <w:r>
        <w:rPr>
          <w:rFonts w:ascii="IBM Plex Sans" w:hAnsi="IBM Plex Sans"/>
          <w:b/>
          <w:color w:val="161616"/>
        </w:rPr>
        <w:t>Methodology</w:t>
      </w:r>
      <w:r>
        <w:rPr>
          <w:rFonts w:ascii="IBM Plex Sans" w:hAnsi="IBM Plex Sans"/>
          <w:color w:val="161616"/>
        </w:rPr>
        <w:t xml:space="preserve"> ("Who participated"): n, segments, cadence, limitations. State participant type plainly (external SMEs are disclosed as "external SME participants, not IBM customers").</w:t>
      </w:r>
    </w:p>
    <w:p>
      <w:pPr>
        <w:pStyle w:val="ListBullet2"/>
        <w:spacing w:after="40"/>
      </w:pPr>
      <w:r>
        <w:rPr>
          <w:rFonts w:ascii="IBM Plex Sans" w:hAnsi="IBM Plex Sans"/>
          <w:b/>
          <w:color w:val="161616"/>
        </w:rPr>
        <w:t>Findings summary</w:t>
      </w:r>
      <w:r>
        <w:rPr>
          <w:rFonts w:ascii="IBM Plex Sans" w:hAnsi="IBM Plex Sans"/>
          <w:color w:val="161616"/>
        </w:rPr>
        <w:t xml:space="preserve"> — the numbered takeaways for that method.</w:t>
      </w:r>
    </w:p>
    <w:p>
      <w:pPr>
        <w:pStyle w:val="ListBullet2"/>
        <w:spacing w:after="40"/>
      </w:pPr>
      <w:r>
        <w:rPr>
          <w:rFonts w:ascii="IBM Plex Sans" w:hAnsi="IBM Plex Sans"/>
          <w:b/>
          <w:color w:val="161616"/>
        </w:rPr>
        <w:t>Evidence slides</w:t>
      </w:r>
      <w:r>
        <w:rPr>
          <w:rFonts w:ascii="IBM Plex Sans" w:hAnsi="IBM Plex Sans"/>
          <w:color w:val="161616"/>
        </w:rPr>
        <w:t>, shaped to the method:</w:t>
      </w:r>
    </w:p>
    <w:p>
      <w:pPr>
        <w:pStyle w:val="ListBullet2"/>
        <w:spacing w:after="40"/>
      </w:pPr>
      <w:r>
        <w:rPr>
          <w:rFonts w:ascii="IBM Plex Sans" w:hAnsi="IBM Plex Sans"/>
          <w:color w:val="161616"/>
        </w:rPr>
        <w:t>Usability: task-by-task results (completion, where people got stuck, severity-rated issues), the observed behavior behind each issue, and a verbatim quote. Lead with the issue and severity, not the task number.</w:t>
      </w:r>
    </w:p>
    <w:p>
      <w:pPr>
        <w:pStyle w:val="ListBullet2"/>
        <w:spacing w:after="40"/>
      </w:pPr>
      <w:r>
        <w:rPr>
          <w:rFonts w:ascii="IBM Plex Sans" w:hAnsi="IBM Plex Sans"/>
          <w:color w:val="161616"/>
        </w:rPr>
        <w:t>Interviews: per-participant deep-dives (user type / primary use case / unmet needs), themed finding-plus-interpretation slides, synthesis statements.</w:t>
      </w:r>
    </w:p>
    <w:p>
      <w:pPr>
        <w:pStyle w:val="ListBullet2"/>
        <w:spacing w:after="40"/>
      </w:pPr>
      <w:r>
        <w:rPr>
          <w:rFonts w:ascii="IBM Plex Sans" w:hAnsi="IBM Plex Sans"/>
          <w:color w:val="161616"/>
        </w:rPr>
        <w:t>Survey or quant: ratings tables and ranked lists, with exact ns.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7. </w:t>
      </w:r>
      <w:r>
        <w:rPr>
          <w:rFonts w:ascii="IBM Plex Sans" w:hAnsi="IBM Plex Sans"/>
          <w:b/>
          <w:color w:val="161616"/>
        </w:rPr>
        <w:t>Quote slides</w:t>
      </w:r>
      <w:r>
        <w:rPr>
          <w:rFonts w:ascii="IBM Plex Sans" w:hAnsi="IBM Plex Sans"/>
          <w:color w:val="161616"/>
        </w:rPr>
        <w:t xml:space="preserve"> — interspersed, not clustered. One verbatim quote, large, attributed by role or segment (P-IDs or segment labels; never identity).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8. </w:t>
      </w:r>
      <w:r>
        <w:rPr>
          <w:rFonts w:ascii="IBM Plex Sans" w:hAnsi="IBM Plex Sans"/>
          <w:b/>
          <w:color w:val="161616"/>
        </w:rPr>
        <w:t>Synthesis statement</w:t>
      </w:r>
      <w:r>
        <w:rPr>
          <w:rFonts w:ascii="IBM Plex Sans" w:hAnsi="IBM Plex Sans"/>
          <w:color w:val="161616"/>
        </w:rPr>
        <w:t xml:space="preserve"> — an occasional full-bleed single-insight slide naming the throughline.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9. </w:t>
      </w:r>
      <w:r>
        <w:rPr>
          <w:rFonts w:ascii="IBM Plex Sans" w:hAnsi="IBM Plex Sans"/>
          <w:b/>
          <w:color w:val="161616"/>
        </w:rPr>
        <w:t>What's next</w:t>
      </w:r>
      <w:r>
        <w:rPr>
          <w:rFonts w:ascii="IBM Plex Sans" w:hAnsi="IBM Plex Sans"/>
          <w:color w:val="161616"/>
        </w:rPr>
        <w:t xml:space="preserve"> — roadmap, owners, timing; tie findings to upcoming work.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10. </w:t>
      </w:r>
      <w:r>
        <w:rPr>
          <w:rFonts w:ascii="IBM Plex Sans" w:hAnsi="IBM Plex Sans"/>
          <w:b/>
          <w:color w:val="161616"/>
        </w:rPr>
        <w:t>Full recommendations and feature requests</w:t>
      </w:r>
      <w:r>
        <w:rPr>
          <w:rFonts w:ascii="IBM Plex Sans" w:hAnsi="IBM Plex Sans"/>
          <w:color w:val="161616"/>
        </w:rPr>
        <w:t xml:space="preserve"> — the complete numbered backlog; can span slides.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11. </w:t>
      </w:r>
      <w:r>
        <w:rPr>
          <w:rFonts w:ascii="IBM Plex Sans" w:hAnsi="IBM Plex Sans"/>
          <w:b/>
          <w:color w:val="161616"/>
        </w:rPr>
        <w:t>Thanks</w:t>
      </w:r>
      <w:r>
        <w:rPr>
          <w:rFonts w:ascii="IBM Plex Sans" w:hAnsi="IBM Plex Sans"/>
          <w:color w:val="161616"/>
        </w:rPr>
        <w:t xml:space="preserve">, then </w:t>
      </w:r>
      <w:r>
        <w:rPr>
          <w:rFonts w:ascii="IBM Plex Sans" w:hAnsi="IBM Plex Sans"/>
          <w:b/>
          <w:color w:val="161616"/>
        </w:rPr>
        <w:t>Appendix</w:t>
      </w:r>
      <w:r>
        <w:rPr>
          <w:rFonts w:ascii="IBM Plex Sans" w:hAnsi="IBM Plex Sans"/>
          <w:color w:val="161616"/>
        </w:rPr>
        <w:t xml:space="preserve"> — reference documents and links.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Craft notes</w:t>
      </w:r>
    </w:p>
    <w:p>
      <w:pPr>
        <w:pStyle w:val="ListBullet"/>
        <w:spacing w:after="40"/>
      </w:pPr>
      <w:r>
        <w:rPr>
          <w:rFonts w:ascii="IBM Plex Sans" w:hAnsi="IBM Plex Sans"/>
          <w:color w:val="161616"/>
        </w:rPr>
        <w:t>Keep observation, interpretation, and recommendation visually and verbally separate; the room must be able to tell what was seen from what you concluded.</w:t>
      </w:r>
    </w:p>
    <w:p>
      <w:pPr>
        <w:pStyle w:val="ListBullet"/>
        <w:spacing w:after="40"/>
      </w:pPr>
      <w:r>
        <w:rPr>
          <w:rFonts w:ascii="IBM Plex Sans" w:hAnsi="IBM Plex Sans"/>
          <w:color w:val="161616"/>
        </w:rPr>
        <w:t>Exact counts on every claim ("5 of 8"), never "most."</w:t>
      </w:r>
    </w:p>
    <w:p>
      <w:pPr>
        <w:pStyle w:val="ListBullet"/>
        <w:spacing w:after="40"/>
      </w:pPr>
      <w:r>
        <w:rPr>
          <w:rFonts w:ascii="IBM Plex Sans" w:hAnsi="IBM Plex Sans"/>
          <w:color w:val="161616"/>
        </w:rPr>
        <w:t>Visual weight tracks evidence strength; the strongest finding is not the smallest slide.</w:t>
      </w:r>
    </w:p>
    <w:p>
      <w:pPr>
        <w:pStyle w:val="ListBullet"/>
        <w:spacing w:after="40"/>
      </w:pPr>
      <w:r>
        <w:rPr>
          <w:rFonts w:ascii="IBM Plex Sans" w:hAnsi="IBM Plex Sans"/>
          <w:color w:val="161616"/>
        </w:rPr>
        <w:t>Theme: IBM Carbon (IBM Plex, Blue 60 accents) by default.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Before release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Gates, then the release sign-off (§11): read every slide, make your own edits, and re-run the synthesis check if an edit moves a quote, count, or attribution. After release, offer participants the impact message.</w:t>
      </w:r>
    </w:p>
    <w:p>
      <w:pPr>
        <w:spacing w:before="60" w:after="100"/>
      </w:pPr>
      <w:r>
        <w:rPr>
          <w:rFonts w:ascii="IBM Plex Sans" w:hAnsi="IBM Plex Sans"/>
          <w:i/>
          <w:color w:val="161616"/>
        </w:rPr>
        <w:t>Part of the Dr. Morgan UX research suite. Manual alternative to `skills/research-readout-deck`; §4.4 applies either way.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IBM Plex Sans" w:hAnsi="IBM Plex Sans"/>
        <w:i/>
        <w:color w:val="525252"/>
        <w:sz w:val="18"/>
      </w:rPr>
      <w:t>Dr. Morgan UX research suite · template</w:t>
    </w:r>
    <w:r>
      <w:tab/>
    </w:r>
    <w:r>
      <w:rPr>
        <w:rFonts w:ascii="IBM Plex Sans" w:hAnsi="IBM Plex Sans"/>
        <w:color w:val="525252"/>
        <w:sz w:val="18"/>
      </w:rPr>
      <w:t xml:space="preserve">Page </w:t>
    </w:r>
    <w:r>
      <w:rPr>
        <w:rFonts w:ascii="IBM Plex Sans" w:hAnsi="IBM Plex Sans"/>
        <w:color w:val="52525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F62FE"/>
      </w:pBdr>
    </w:pPr>
    <w:r>
      <w:rPr>
        <w:rFonts w:ascii="IBM Plex Sans" w:hAnsi="IBM Plex Sans"/>
        <w:b/>
        <w:color w:val="0F62FE"/>
        <w:sz w:val="18"/>
      </w:rPr>
      <w:t>Secure UX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IBM Plex Sans" w:hAnsi="IBM Plex Sans"/>
      <w:color w:val="1616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