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IBM Plex Sans" w:hAnsi="IBM Plex Sans"/>
          <w:b/>
          <w:color w:val="0F62FE"/>
          <w:sz w:val="56"/>
        </w:rPr>
        <w:t>Discussion guide / interview script</w:t>
      </w:r>
    </w:p>
    <w:p>
      <w:pPr>
        <w:spacing w:after="120"/>
        <w:pBdr>
          <w:bottom w:val="single" w:sz="8" w:space="6" w:color="0F62FE"/>
        </w:pBdr>
      </w:pPr>
      <w:r>
        <w:rPr>
          <w:rFonts w:ascii="IBM Plex Sans" w:hAnsi="IBM Plex Sans"/>
          <w:b/>
          <w:color w:val="525252"/>
          <w:sz w:val="32"/>
        </w:rPr>
        <w:t>Template</w:t>
      </w:r>
    </w:p>
    <w:p>
      <w:pPr>
        <w:spacing w:before="60" w:after="100"/>
      </w:pPr>
      <w:r>
        <w:rPr>
          <w:rFonts w:ascii="IBM Plex Sans" w:hAnsi="IBM Plex Sans"/>
          <w:color w:val="161616"/>
        </w:rPr>
        <w:t xml:space="preserve">The guide is gated the moment it is drafted (§4.6 of </w:t>
      </w:r>
      <w:r>
        <w:rPr>
          <w:rFonts w:ascii="IBM Plex Mono" w:hAnsi="IBM Plex Mono"/>
          <w:color w:val="161616"/>
        </w:rPr>
        <w:t>EVALUATION-LOOP.md</w:t>
      </w:r>
      <w:r>
        <w:rPr>
          <w:rFonts w:ascii="IBM Plex Sans" w:hAnsi="IBM Plex Sans"/>
          <w:color w:val="161616"/>
        </w:rPr>
        <w:t xml:space="preserve"> is the full bar; </w:t>
      </w:r>
      <w:r>
        <w:rPr>
          <w:rFonts w:ascii="IBM Plex Mono" w:hAnsi="IBM Plex Mono"/>
          <w:color w:val="161616"/>
        </w:rPr>
        <w:t>research-guide-checker</w:t>
      </w:r>
      <w:r>
        <w:rPr>
          <w:rFonts w:ascii="IBM Plex Sans" w:hAnsi="IBM Plex Sans"/>
          <w:color w:val="161616"/>
        </w:rPr>
        <w:t xml:space="preserve"> scores against it). This template carries the structure and the rules that do the most work. The per-method files in </w:t>
      </w:r>
      <w:r>
        <w:rPr>
          <w:rFonts w:ascii="IBM Plex Mono" w:hAnsi="IBM Plex Mono"/>
          <w:color w:val="161616"/>
        </w:rPr>
        <w:t>methods/</w:t>
      </w:r>
      <w:r>
        <w:rPr>
          <w:rFonts w:ascii="IBM Plex Sans" w:hAnsi="IBM Plex Sans"/>
          <w:color w:val="161616"/>
        </w:rPr>
        <w:t xml:space="preserve"> add session shape and question counts for your specific method; read yours before writing.</w:t>
      </w:r>
    </w:p>
    <w:p>
      <w:pPr>
        <w:spacing w:before="0" w:after="0"/>
        <w:ind w:left="216"/>
        <w:shd w:val="clear" w:fill="F4F4F4"/>
      </w:pPr>
      <w:r>
        <w:rPr>
          <w:rFonts w:ascii="IBM Plex Mono" w:hAnsi="IBM Plex Mono"/>
          <w:color w:val="161616"/>
          <w:sz w:val="17"/>
        </w:rPr>
        <w:t>DISCUSSION GUIDE — [Study name]</w:t>
      </w:r>
    </w:p>
    <w:p>
      <w:pPr>
        <w:spacing w:before="0" w:after="0"/>
        <w:ind w:left="216"/>
        <w:shd w:val="clear" w:fill="F4F4F4"/>
      </w:pPr>
      <w:r>
        <w:rPr>
          <w:rFonts w:ascii="IBM Plex Mono" w:hAnsi="IBM Plex Mono"/>
          <w:color w:val="161616"/>
          <w:sz w:val="17"/>
        </w:rPr>
        <w:t xml:space="preserve"> </w:t>
      </w:r>
    </w:p>
    <w:p>
      <w:pPr>
        <w:spacing w:before="0" w:after="0"/>
        <w:ind w:left="216"/>
        <w:shd w:val="clear" w:fill="F4F4F4"/>
      </w:pPr>
      <w:r>
        <w:rPr>
          <w:rFonts w:ascii="IBM Plex Mono" w:hAnsi="IBM Plex Mono"/>
          <w:color w:val="161616"/>
          <w:sz w:val="17"/>
        </w:rPr>
        <w:t>Method:          [e.g., semi-structured interview / moderated usability]</w:t>
      </w:r>
    </w:p>
    <w:p>
      <w:pPr>
        <w:spacing w:before="0" w:after="0"/>
        <w:ind w:left="216"/>
        <w:shd w:val="clear" w:fill="F4F4F4"/>
      </w:pPr>
      <w:r>
        <w:rPr>
          <w:rFonts w:ascii="IBM Plex Mono" w:hAnsi="IBM Plex Mono"/>
          <w:color w:val="161616"/>
          <w:sz w:val="17"/>
        </w:rPr>
        <w:t>Session length:  [minutes]</w:t>
      </w:r>
    </w:p>
    <w:p>
      <w:pPr>
        <w:spacing w:before="0" w:after="0"/>
        <w:ind w:left="216"/>
        <w:shd w:val="clear" w:fill="F4F4F4"/>
      </w:pPr>
      <w:r>
        <w:rPr>
          <w:rFonts w:ascii="IBM Plex Mono" w:hAnsi="IBM Plex Mono"/>
          <w:color w:val="161616"/>
          <w:sz w:val="17"/>
        </w:rPr>
        <w:t>Guide type:      verbatim script / semi-structured / topic list</w:t>
      </w:r>
    </w:p>
    <w:p>
      <w:pPr>
        <w:spacing w:before="0" w:after="0"/>
        <w:ind w:left="216"/>
        <w:shd w:val="clear" w:fill="F4F4F4"/>
      </w:pPr>
      <w:r>
        <w:rPr>
          <w:rFonts w:ascii="IBM Plex Mono" w:hAnsi="IBM Plex Mono"/>
          <w:color w:val="161616"/>
          <w:sz w:val="17"/>
        </w:rPr>
        <w:t xml:space="preserve">                 (severity of the gate scales with this; say which you mean)</w:t>
      </w:r>
    </w:p>
    <w:p>
      <w:pPr>
        <w:spacing w:before="0" w:after="0"/>
        <w:ind w:left="216"/>
        <w:shd w:val="clear" w:fill="F4F4F4"/>
      </w:pPr>
      <w:r>
        <w:rPr>
          <w:rFonts w:ascii="IBM Plex Mono" w:hAnsi="IBM Plex Mono"/>
          <w:color w:val="161616"/>
          <w:sz w:val="17"/>
        </w:rPr>
        <w:t>Maps to:         RQ1, RQ2, ... (every core section names its RQ)</w:t>
      </w:r>
    </w:p>
    <w:p>
      <w:pPr>
        <w:spacing w:after="40"/>
      </w:pPr>
    </w:p>
    <w:p>
      <w:pPr>
        <w:pStyle w:val="Heading1"/>
        <w:keepNext/>
        <w:spacing w:before="280" w:after="120"/>
      </w:pPr>
      <w:r>
        <w:rPr>
          <w:rFonts w:ascii="IBM Plex Sans" w:hAnsi="IBM Plex Sans"/>
          <w:color w:val="0F62FE"/>
        </w:rPr>
        <w:t>1. Introduction &amp; consent (≈5 min)</w:t>
      </w:r>
    </w:p>
    <w:p>
      <w:pPr>
        <w:spacing w:before="60" w:after="100"/>
      </w:pPr>
      <w:r>
        <w:rPr>
          <w:rFonts w:ascii="IBM Plex Sans" w:hAnsi="IBM Plex Sans"/>
          <w:color w:val="161616"/>
        </w:rPr>
        <w:t>Who you are, purpose in participant language, recording consent captured out loud, "no wrong answers," and permission to stop any time. Confirm consent scope matches what the tracker says this participant agreed to.</w:t>
      </w:r>
    </w:p>
    <w:p>
      <w:pPr>
        <w:pStyle w:val="Heading1"/>
        <w:keepNext/>
        <w:spacing w:before="280" w:after="120"/>
      </w:pPr>
      <w:r>
        <w:rPr>
          <w:rFonts w:ascii="IBM Plex Sans" w:hAnsi="IBM Plex Sans"/>
          <w:color w:val="0F62FE"/>
        </w:rPr>
        <w:t>2. Warm-up (≈5 min)</w:t>
      </w:r>
    </w:p>
    <w:p>
      <w:pPr>
        <w:spacing w:before="60" w:after="100"/>
      </w:pPr>
      <w:r>
        <w:rPr>
          <w:rFonts w:ascii="IBM Plex Sans" w:hAnsi="IBM Plex Sans"/>
          <w:color w:val="161616"/>
        </w:rPr>
        <w:t>Easy, contextual, zero-stakes questions. Nothing touching competence, mistakes, or workarounds sits here (§4.6 item 20). Broad before narrow.</w:t>
      </w:r>
    </w:p>
    <w:p>
      <w:pPr>
        <w:pStyle w:val="Heading1"/>
        <w:keepNext/>
        <w:spacing w:before="280" w:after="120"/>
      </w:pPr>
      <w:r>
        <w:rPr>
          <w:rFonts w:ascii="IBM Plex Sans" w:hAnsi="IBM Plex Sans"/>
          <w:color w:val="0F62FE"/>
        </w:rPr>
        <w:t>3. Core sections</w:t>
      </w:r>
    </w:p>
    <w:p>
      <w:pPr>
        <w:spacing w:before="60" w:after="100"/>
      </w:pPr>
      <w:r>
        <w:rPr>
          <w:rFonts w:ascii="IBM Plex Sans" w:hAnsi="IBM Plex Sans"/>
          <w:color w:val="161616"/>
        </w:rPr>
        <w:t>One block per topic, each labeled with its research question. For each section write main questions, follow-ups, and probes; a guide that is all main questions fails the gate (item 9).</w:t>
      </w:r>
    </w:p>
    <w:p>
      <w:pPr>
        <w:spacing w:before="60" w:after="100"/>
      </w:pPr>
      <w:r>
        <w:rPr>
          <w:rFonts w:ascii="IBM Plex Sans" w:hAnsi="IBM Plex Sans"/>
          <w:color w:val="161616"/>
        </w:rPr>
        <w:t>Question craft, the short version:</w:t>
      </w:r>
    </w:p>
    <w:p>
      <w:pPr>
        <w:pStyle w:val="ListBullet"/>
        <w:spacing w:after="40"/>
      </w:pPr>
      <w:r>
        <w:rPr>
          <w:rFonts w:ascii="IBM Plex Sans" w:hAnsi="IBM Plex Sans"/>
          <w:b/>
          <w:color w:val="161616"/>
        </w:rPr>
        <w:t>Open with TED+W:</w:t>
      </w:r>
      <w:r>
        <w:rPr>
          <w:rFonts w:ascii="IBM Plex Sans" w:hAnsi="IBM Plex Sans"/>
          <w:color w:val="161616"/>
        </w:rPr>
        <w:t xml:space="preserve"> Tell me about, Explain, Describe, Walk me through. A question that genuinely opens this way is hard to make leading, compound, or yes/no.</w:t>
      </w:r>
    </w:p>
    <w:p>
      <w:pPr>
        <w:pStyle w:val="ListBullet"/>
        <w:spacing w:after="40"/>
      </w:pPr>
      <w:r>
        <w:rPr>
          <w:rFonts w:ascii="IBM Plex Sans" w:hAnsi="IBM Plex Sans"/>
          <w:b/>
          <w:color w:val="161616"/>
        </w:rPr>
        <w:t>Behavioral before attitudinal.</w:t>
      </w:r>
      <w:r>
        <w:rPr>
          <w:rFonts w:ascii="IBM Plex Sans" w:hAnsi="IBM Plex Sans"/>
          <w:color w:val="161616"/>
        </w:rPr>
        <w:t xml:space="preserve"> Every topic is reachable through at least one question about a specific past instance (item 13), with the recall window bounded by recency or a landmark event (item 14). Ask what happened, not why they think they did it (item 5).</w:t>
      </w:r>
    </w:p>
    <w:p>
      <w:pPr>
        <w:pStyle w:val="ListBullet"/>
        <w:spacing w:after="40"/>
      </w:pPr>
      <w:r>
        <w:rPr>
          <w:rFonts w:ascii="IBM Plex Sans" w:hAnsi="IBM Plex Sans"/>
          <w:b/>
          <w:color w:val="161616"/>
        </w:rPr>
        <w:t>No leading, presupposing, or double-barreled questions</w:t>
      </w:r>
      <w:r>
        <w:rPr>
          <w:rFonts w:ascii="IBM Plex Sans" w:hAnsi="IBM Plex Sans"/>
          <w:color w:val="161616"/>
        </w:rPr>
        <w:t xml:space="preserve"> (items 2–3). Any yes/no question carries a probe (item 8).</w:t>
      </w:r>
    </w:p>
    <w:p>
      <w:pPr>
        <w:pStyle w:val="ListBullet"/>
        <w:spacing w:after="40"/>
      </w:pPr>
      <w:r>
        <w:rPr>
          <w:rFonts w:ascii="IBM Plex Sans" w:hAnsi="IBM Plex Sans"/>
          <w:b/>
          <w:color w:val="161616"/>
        </w:rPr>
        <w:t>Hypotheticals are not the only route to any topic</w:t>
      </w:r>
      <w:r>
        <w:rPr>
          <w:rFonts w:ascii="IBM Plex Sans" w:hAnsi="IBM Plex Sans"/>
          <w:color w:val="161616"/>
        </w:rPr>
        <w:t xml:space="preserve"> (item 4). When used, mark the resulting data as stated preference, not behavior.</w:t>
      </w:r>
    </w:p>
    <w:p>
      <w:pPr>
        <w:pStyle w:val="ListBullet"/>
        <w:spacing w:after="40"/>
      </w:pPr>
      <w:r>
        <w:rPr>
          <w:rFonts w:ascii="IBM Plex Sans" w:hAnsi="IBM Plex Sans"/>
          <w:b/>
          <w:color w:val="161616"/>
        </w:rPr>
        <w:t>Keep evaluative words out of questions.</w:t>
      </w:r>
      <w:r>
        <w:rPr>
          <w:rFonts w:ascii="IBM Plex Sans" w:hAnsi="IBM Plex Sans"/>
          <w:color w:val="161616"/>
        </w:rPr>
        <w:t xml:space="preserve"> Easy, hard, confusing, intuitive, seamless: the participant supplies those words; you probe them when they do (item 11).</w:t>
      </w:r>
    </w:p>
    <w:p>
      <w:pPr>
        <w:spacing w:before="0" w:after="0"/>
        <w:ind w:left="216"/>
        <w:shd w:val="clear" w:fill="F4F4F4"/>
      </w:pPr>
      <w:r>
        <w:rPr>
          <w:rFonts w:ascii="IBM Plex Mono" w:hAnsi="IBM Plex Mono"/>
          <w:color w:val="161616"/>
          <w:sz w:val="17"/>
        </w:rPr>
        <w:t>SECTION: [topic]  (RQ2, ≈10 min)</w:t>
      </w:r>
    </w:p>
    <w:p>
      <w:pPr>
        <w:spacing w:before="0" w:after="0"/>
        <w:ind w:left="216"/>
        <w:shd w:val="clear" w:fill="F4F4F4"/>
      </w:pPr>
      <w:r>
        <w:rPr>
          <w:rFonts w:ascii="IBM Plex Mono" w:hAnsi="IBM Plex Mono"/>
          <w:color w:val="161616"/>
          <w:sz w:val="17"/>
        </w:rPr>
        <w:t xml:space="preserve"> </w:t>
      </w:r>
    </w:p>
    <w:p>
      <w:pPr>
        <w:spacing w:before="0" w:after="0"/>
        <w:ind w:left="216"/>
        <w:shd w:val="clear" w:fill="F4F4F4"/>
      </w:pPr>
      <w:r>
        <w:rPr>
          <w:rFonts w:ascii="IBM Plex Mono" w:hAnsi="IBM Plex Mono"/>
          <w:color w:val="161616"/>
          <w:sz w:val="17"/>
        </w:rPr>
        <w:t xml:space="preserve">  MAIN: Walk me through the last time you [specific task].</w:t>
      </w:r>
    </w:p>
    <w:p>
      <w:pPr>
        <w:spacing w:before="0" w:after="0"/>
        <w:ind w:left="216"/>
        <w:shd w:val="clear" w:fill="F4F4F4"/>
      </w:pPr>
      <w:r>
        <w:rPr>
          <w:rFonts w:ascii="IBM Plex Mono" w:hAnsi="IBM Plex Mono"/>
          <w:color w:val="161616"/>
          <w:sz w:val="17"/>
        </w:rPr>
        <w:t xml:space="preserve">    FOLLOW-UP: What happened right before that?</w:t>
      </w:r>
    </w:p>
    <w:p>
      <w:pPr>
        <w:spacing w:before="0" w:after="0"/>
        <w:ind w:left="216"/>
        <w:shd w:val="clear" w:fill="F4F4F4"/>
      </w:pPr>
      <w:r>
        <w:rPr>
          <w:rFonts w:ascii="IBM Plex Mono" w:hAnsi="IBM Plex Mono"/>
          <w:color w:val="161616"/>
          <w:sz w:val="17"/>
        </w:rPr>
        <w:t xml:space="preserve">    PROBE: You said it was [their word]. What does [their word] look</w:t>
      </w:r>
    </w:p>
    <w:p>
      <w:pPr>
        <w:spacing w:before="0" w:after="0"/>
        <w:ind w:left="216"/>
        <w:shd w:val="clear" w:fill="F4F4F4"/>
      </w:pPr>
      <w:r>
        <w:rPr>
          <w:rFonts w:ascii="IBM Plex Mono" w:hAnsi="IBM Plex Mono"/>
          <w:color w:val="161616"/>
          <w:sz w:val="17"/>
        </w:rPr>
        <w:t xml:space="preserve">           like in practice?</w:t>
      </w:r>
    </w:p>
    <w:p>
      <w:pPr>
        <w:spacing w:before="0" w:after="0"/>
        <w:ind w:left="216"/>
        <w:shd w:val="clear" w:fill="F4F4F4"/>
      </w:pPr>
      <w:r>
        <w:rPr>
          <w:rFonts w:ascii="IBM Plex Mono" w:hAnsi="IBM Plex Mono"/>
          <w:color w:val="161616"/>
          <w:sz w:val="17"/>
        </w:rPr>
        <w:t xml:space="preserve"> </w:t>
      </w:r>
    </w:p>
    <w:p>
      <w:pPr>
        <w:spacing w:before="0" w:after="0"/>
        <w:ind w:left="216"/>
        <w:shd w:val="clear" w:fill="F4F4F4"/>
      </w:pPr>
      <w:r>
        <w:rPr>
          <w:rFonts w:ascii="IBM Plex Mono" w:hAnsi="IBM Plex Mono"/>
          <w:color w:val="161616"/>
          <w:sz w:val="17"/>
        </w:rPr>
        <w:t xml:space="preserve">  MAIN: ...</w:t>
      </w:r>
    </w:p>
    <w:p>
      <w:pPr>
        <w:spacing w:after="40"/>
      </w:pPr>
    </w:p>
    <w:p>
      <w:pPr>
        <w:pStyle w:val="Heading2"/>
        <w:keepNext/>
        <w:spacing w:before="160" w:after="70"/>
      </w:pPr>
      <w:r>
        <w:rPr>
          <w:rFonts w:ascii="IBM Plex Sans" w:hAnsi="IBM Plex Sans"/>
          <w:color w:val="525252"/>
        </w:rPr>
        <w:t>Usability tasks (if applicable)</w:t>
      </w:r>
    </w:p>
    <w:p>
      <w:pPr>
        <w:spacing w:before="60" w:after="100"/>
      </w:pPr>
      <w:r>
        <w:rPr>
          <w:rFonts w:ascii="IBM Plex Sans" w:hAnsi="IBM Plex Sans"/>
          <w:color w:val="161616"/>
        </w:rPr>
        <w:t>Each task carries a user goal, lean realistic context, the information the participant needs, and a reachable end state. Task wording names no control, presupposes no desire to perform it, and carries no loaded framing. In a measured session, no probes are written into the task sequence (item 10).</w:t>
      </w:r>
    </w:p>
    <w:p>
      <w:pPr>
        <w:pStyle w:val="Heading1"/>
        <w:keepNext/>
        <w:spacing w:before="280" w:after="120"/>
      </w:pPr>
      <w:r>
        <w:rPr>
          <w:rFonts w:ascii="IBM Plex Sans" w:hAnsi="IBM Plex Sans"/>
          <w:color w:val="0F62FE"/>
        </w:rPr>
        <w:t>4. Wrap-up (≈5 min)</w:t>
      </w:r>
    </w:p>
    <w:p>
      <w:pPr>
        <w:spacing w:before="60" w:after="100"/>
      </w:pPr>
      <w:r>
        <w:rPr>
          <w:rFonts w:ascii="IBM Plex Sans" w:hAnsi="IBM Plex Sans"/>
          <w:color w:val="161616"/>
        </w:rPr>
        <w:t>Anything they expected to be asked; anything to add; thanks; what happens next (mention that a findings follow-up may come, which the impact message later fulfills).</w:t>
      </w:r>
    </w:p>
    <w:p>
      <w:pPr>
        <w:pStyle w:val="Heading1"/>
        <w:keepNext/>
        <w:spacing w:before="280" w:after="120"/>
      </w:pPr>
      <w:r>
        <w:rPr>
          <w:rFonts w:ascii="IBM Plex Sans" w:hAnsi="IBM Plex Sans"/>
          <w:color w:val="0F62FE"/>
        </w:rPr>
        <w:t>5. Moderator reminders block (required, item 12)</w:t>
      </w:r>
    </w:p>
    <w:p>
      <w:pPr>
        <w:spacing w:before="60" w:after="100"/>
      </w:pPr>
      <w:r>
        <w:rPr>
          <w:rFonts w:ascii="IBM Plex Sans" w:hAnsi="IBM Plex Sans"/>
          <w:color w:val="161616"/>
        </w:rPr>
        <w:t>The one lever the process has on live moderation:</w:t>
      </w:r>
    </w:p>
    <w:p>
      <w:pPr>
        <w:pStyle w:val="ListBullet"/>
        <w:spacing w:after="40"/>
      </w:pPr>
      <w:r>
        <w:rPr>
          <w:rFonts w:ascii="IBM Plex Sans" w:hAnsi="IBM Plex Sans"/>
          <w:color w:val="161616"/>
        </w:rPr>
        <w:t>The always-probe list: subjective and evaluative language.</w:t>
      </w:r>
    </w:p>
    <w:p>
      <w:pPr>
        <w:pStyle w:val="ListBullet"/>
        <w:spacing w:after="40"/>
      </w:pPr>
      <w:r>
        <w:rPr>
          <w:rFonts w:ascii="IBM Plex Sans" w:hAnsi="IBM Plex Sans"/>
          <w:color w:val="161616"/>
        </w:rPr>
        <w:t>Going off-guide is allowed; open with TED+W when you do.</w:t>
      </w:r>
    </w:p>
    <w:p>
      <w:pPr>
        <w:pStyle w:val="ListBullet"/>
        <w:spacing w:after="40"/>
      </w:pPr>
      <w:r>
        <w:rPr>
          <w:rFonts w:ascii="IBM Plex Sans" w:hAnsi="IBM Plex Sans"/>
          <w:color w:val="161616"/>
        </w:rPr>
        <w:t>Mirror their words; do not translate them.</w:t>
      </w:r>
    </w:p>
    <w:p>
      <w:pPr>
        <w:pStyle w:val="ListBullet"/>
        <w:spacing w:after="40"/>
      </w:pPr>
      <w:r>
        <w:rPr>
          <w:rFonts w:ascii="IBM Plex Sans" w:hAnsi="IBM Plex Sans"/>
          <w:color w:val="161616"/>
        </w:rPr>
        <w:t>Pause after the participant stops speaking; the second answer is often the real one.</w:t>
      </w:r>
    </w:p>
    <w:p>
      <w:pPr>
        <w:spacing w:before="60" w:after="100"/>
      </w:pPr>
      <w:r>
        <w:rPr>
          <w:rFonts w:ascii="IBM Plex Sans" w:hAnsi="IBM Plex Sans"/>
          <w:i/>
          <w:color w:val="161616"/>
        </w:rPr>
        <w:t>Part of the Dr. Morgan UX research suite. §4.6 is the full Definition of Done; run `research-guide-checker` on the draft before the first session.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IBM Plex Sans" w:hAnsi="IBM Plex Sans"/>
        <w:i/>
        <w:color w:val="525252"/>
        <w:sz w:val="18"/>
      </w:rPr>
      <w:t>Dr. Morgan UX research suite · template</w:t>
    </w:r>
    <w:r>
      <w:tab/>
    </w:r>
    <w:r>
      <w:rPr>
        <w:rFonts w:ascii="IBM Plex Sans" w:hAnsi="IBM Plex Sans"/>
        <w:color w:val="525252"/>
        <w:sz w:val="18"/>
      </w:rPr>
      <w:t xml:space="preserve">Page </w:t>
    </w:r>
    <w:r>
      <w:rPr>
        <w:rFonts w:ascii="IBM Plex Sans" w:hAnsi="IBM Plex Sans"/>
        <w:color w:val="52525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F62FE"/>
      </w:pBdr>
    </w:pPr>
    <w:r>
      <w:rPr>
        <w:rFonts w:ascii="IBM Plex Sans" w:hAnsi="IBM Plex Sans"/>
        <w:b/>
        <w:color w:val="0F62FE"/>
        <w:sz w:val="18"/>
      </w:rPr>
      <w:t>Secure UX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IBM Plex Sans" w:hAnsi="IBM Plex Sans"/>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