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Public Sans" w:hAnsi="Public Sans"/>
          <w:b/>
          <w:color w:val="002436"/>
          <w:sz w:val="56"/>
        </w:rPr>
        <w:t>Research plan</w:t>
      </w:r>
    </w:p>
    <w:p>
      <w:pPr>
        <w:spacing w:after="120"/>
        <w:pBdr>
          <w:bottom w:val="single" w:sz="8" w:space="6" w:color="002436"/>
        </w:pBdr>
      </w:pPr>
      <w:r>
        <w:rPr>
          <w:rFonts w:ascii="Public Sans" w:hAnsi="Public Sans"/>
          <w:b/>
          <w:color w:val="00537E"/>
          <w:sz w:val="32"/>
        </w:rPr>
        <w:t>Template</w:t>
      </w:r>
    </w:p>
    <w:p>
      <w:pPr>
        <w:spacing w:before="60" w:after="100"/>
      </w:pPr>
      <w:r>
        <w:rPr>
          <w:rFonts w:ascii="Public Sans" w:hAnsi="Public Sans"/>
          <w:color w:val="1F2A30"/>
        </w:rPr>
        <w:t xml:space="preserve">The same sixteen sections Dr. Morgan drafts in </w:t>
      </w:r>
      <w:r>
        <w:rPr>
          <w:rFonts w:ascii="Roboto Mono" w:hAnsi="Roboto Mono"/>
          <w:color w:val="1F2A30"/>
        </w:rPr>
        <w:t>ux_plan_from_scratch.md</w:t>
      </w:r>
      <w:r>
        <w:rPr>
          <w:rFonts w:ascii="Public Sans" w:hAnsi="Public Sans"/>
          <w:color w:val="1F2A30"/>
        </w:rPr>
        <w:t xml:space="preserve">. Sections 1–8 are the thinking; a reviewer reads those hardest. The Definition of Done is §4.1 of </w:t>
      </w:r>
      <w:r>
        <w:rPr>
          <w:rFonts w:ascii="Roboto Mono" w:hAnsi="Roboto Mono"/>
          <w:color w:val="1F2A30"/>
        </w:rPr>
        <w:t>EVALUATION-LOOP.md</w:t>
      </w:r>
      <w:r>
        <w:rPr>
          <w:rFonts w:ascii="Public Sans" w:hAnsi="Public Sans"/>
          <w:color w:val="1F2A30"/>
        </w:rPr>
        <w:t xml:space="preserve">, and </w:t>
      </w:r>
      <w:r>
        <w:rPr>
          <w:rFonts w:ascii="Roboto Mono" w:hAnsi="Roboto Mono"/>
          <w:color w:val="1F2A30"/>
        </w:rPr>
        <w:t>research-plan-reviewer</w:t>
      </w:r>
      <w:r>
        <w:rPr>
          <w:rFonts w:ascii="Public Sans" w:hAnsi="Public Sans"/>
          <w:color w:val="1F2A30"/>
        </w:rPr>
        <w:t xml:space="preserve"> can score a manually written plan at any time.</w:t>
      </w:r>
    </w:p>
    <w:p>
      <w:pPr>
        <w:spacing w:before="0" w:after="0"/>
        <w:ind w:left="216"/>
        <w:shd w:val="clear" w:fill="F0F3F4"/>
      </w:pPr>
      <w:r>
        <w:rPr>
          <w:rFonts w:ascii="Roboto Mono" w:hAnsi="Roboto Mono"/>
          <w:color w:val="1F2A30"/>
          <w:sz w:val="17"/>
        </w:rPr>
        <w:t>[Study name] — Research Plan</w:t>
      </w:r>
    </w:p>
    <w:p>
      <w:pPr>
        <w:spacing w:before="0" w:after="0"/>
        <w:ind w:left="216"/>
        <w:shd w:val="clear" w:fill="F0F3F4"/>
      </w:pPr>
      <w:r>
        <w:rPr>
          <w:rFonts w:ascii="Roboto Mono" w:hAnsi="Roboto Mono"/>
          <w:color w:val="1F2A30"/>
          <w:sz w:val="17"/>
        </w:rPr>
        <w:t xml:space="preserve"> </w:t>
      </w:r>
    </w:p>
    <w:p>
      <w:pPr>
        <w:spacing w:before="0" w:after="0"/>
        <w:ind w:left="216"/>
        <w:shd w:val="clear" w:fill="F0F3F4"/>
      </w:pPr>
      <w:r>
        <w:rPr>
          <w:rFonts w:ascii="Roboto Mono" w:hAnsi="Roboto Mono"/>
          <w:color w:val="1F2A30"/>
          <w:sz w:val="17"/>
        </w:rPr>
        <w:t>Summary:            1–3 sentences on what this study is and why it matters.</w:t>
      </w:r>
    </w:p>
    <w:p>
      <w:pPr>
        <w:spacing w:before="0" w:after="0"/>
        <w:ind w:left="216"/>
        <w:shd w:val="clear" w:fill="F0F3F4"/>
      </w:pPr>
      <w:r>
        <w:rPr>
          <w:rFonts w:ascii="Roboto Mono" w:hAnsi="Roboto Mono"/>
          <w:color w:val="1F2A30"/>
          <w:sz w:val="17"/>
        </w:rPr>
        <w:t>Authors:</w:t>
      </w:r>
    </w:p>
    <w:p>
      <w:pPr>
        <w:spacing w:before="0" w:after="0"/>
        <w:ind w:left="216"/>
        <w:shd w:val="clear" w:fill="F0F3F4"/>
      </w:pPr>
      <w:r>
        <w:rPr>
          <w:rFonts w:ascii="Roboto Mono" w:hAnsi="Roboto Mono"/>
          <w:color w:val="1F2A30"/>
          <w:sz w:val="17"/>
        </w:rPr>
        <w:t>Contributors:</w:t>
      </w:r>
    </w:p>
    <w:p>
      <w:pPr>
        <w:spacing w:before="0" w:after="0"/>
        <w:ind w:left="216"/>
        <w:shd w:val="clear" w:fill="F0F3F4"/>
      </w:pPr>
      <w:r>
        <w:rPr>
          <w:rFonts w:ascii="Roboto Mono" w:hAnsi="Roboto Mono"/>
          <w:color w:val="1F2A30"/>
          <w:sz w:val="17"/>
        </w:rPr>
        <w:t>Reviewers:</w:t>
      </w:r>
    </w:p>
    <w:p>
      <w:pPr>
        <w:spacing w:before="0" w:after="0"/>
        <w:ind w:left="216"/>
        <w:shd w:val="clear" w:fill="F0F3F4"/>
      </w:pPr>
      <w:r>
        <w:rPr>
          <w:rFonts w:ascii="Roboto Mono" w:hAnsi="Roboto Mono"/>
          <w:color w:val="1F2A30"/>
          <w:sz w:val="17"/>
        </w:rPr>
        <w:t>Intended audience:</w:t>
      </w:r>
    </w:p>
    <w:p>
      <w:pPr>
        <w:spacing w:before="0" w:after="0"/>
        <w:ind w:left="216"/>
        <w:shd w:val="clear" w:fill="F0F3F4"/>
      </w:pPr>
      <w:r>
        <w:rPr>
          <w:rFonts w:ascii="Roboto Mono" w:hAnsi="Roboto Mono"/>
          <w:color w:val="1F2A30"/>
          <w:sz w:val="17"/>
        </w:rPr>
        <w:t>Status:             Draft / In Review / Final</w:t>
      </w:r>
    </w:p>
    <w:p>
      <w:pPr>
        <w:spacing w:before="0" w:after="0"/>
        <w:ind w:left="216"/>
        <w:shd w:val="clear" w:fill="F0F3F4"/>
      </w:pPr>
      <w:r>
        <w:rPr>
          <w:rFonts w:ascii="Roboto Mono" w:hAnsi="Roboto Mono"/>
          <w:color w:val="1F2A30"/>
          <w:sz w:val="17"/>
        </w:rPr>
        <w:t>Created:            YYYY-MM-DD</w:t>
      </w:r>
    </w:p>
    <w:p>
      <w:pPr>
        <w:spacing w:before="0" w:after="0"/>
        <w:ind w:left="216"/>
        <w:shd w:val="clear" w:fill="F0F3F4"/>
      </w:pPr>
      <w:r>
        <w:rPr>
          <w:rFonts w:ascii="Roboto Mono" w:hAnsi="Roboto Mono"/>
          <w:color w:val="1F2A30"/>
          <w:sz w:val="17"/>
        </w:rPr>
        <w:t>Last updated:       YYYY-MM-DD</w:t>
      </w:r>
    </w:p>
    <w:p>
      <w:pPr>
        <w:spacing w:before="0" w:after="0"/>
        <w:ind w:left="216"/>
        <w:shd w:val="clear" w:fill="F0F3F4"/>
      </w:pPr>
      <w:r>
        <w:rPr>
          <w:rFonts w:ascii="Roboto Mono" w:hAnsi="Roboto Mono"/>
          <w:color w:val="1F2A30"/>
          <w:sz w:val="17"/>
        </w:rPr>
        <w:t>Ticket / issue:     link</w:t>
      </w:r>
    </w:p>
    <w:p>
      <w:pPr>
        <w:spacing w:after="40"/>
      </w:pPr>
    </w:p>
    <w:p>
      <w:pPr>
        <w:pStyle w:val="Heading1"/>
        <w:keepNext/>
        <w:spacing w:before="280" w:after="120"/>
      </w:pPr>
      <w:r>
        <w:rPr>
          <w:rFonts w:ascii="Public Sans" w:hAnsi="Public Sans"/>
          <w:color w:val="002436"/>
        </w:rPr>
        <w:t>1. Background &amp; context</w:t>
      </w:r>
    </w:p>
    <w:p>
      <w:pPr>
        <w:spacing w:before="60" w:after="100"/>
      </w:pPr>
      <w:r>
        <w:rPr>
          <w:rFonts w:ascii="Public Sans" w:hAnsi="Public Sans"/>
          <w:color w:val="1F2A30"/>
        </w:rPr>
        <w:t>What prompted this study, what is already known, and why this is not repeating prior research.</w:t>
      </w:r>
    </w:p>
    <w:p>
      <w:pPr>
        <w:pStyle w:val="Heading1"/>
        <w:keepNext/>
        <w:spacing w:before="280" w:after="120"/>
      </w:pPr>
      <w:r>
        <w:rPr>
          <w:rFonts w:ascii="Public Sans" w:hAnsi="Public Sans"/>
          <w:color w:val="002436"/>
        </w:rPr>
        <w:t>2. The decision this informs</w:t>
      </w:r>
    </w:p>
    <w:p>
      <w:pPr>
        <w:spacing w:before="60" w:after="100"/>
      </w:pPr>
      <w:r>
        <w:rPr>
          <w:rFonts w:ascii="Public Sans" w:hAnsi="Public Sans"/>
          <w:color w:val="1F2A30"/>
        </w:rPr>
        <w:t>What will change based on the findings, who owns that decision, and the timeframe. If nothing changes, reconsider the study (the intake template exists to catch this earlier).</w:t>
      </w:r>
    </w:p>
    <w:p>
      <w:pPr>
        <w:pStyle w:val="Heading1"/>
        <w:keepNext/>
        <w:spacing w:before="280" w:after="120"/>
      </w:pPr>
      <w:r>
        <w:rPr>
          <w:rFonts w:ascii="Public Sans" w:hAnsi="Public Sans"/>
          <w:color w:val="002436"/>
        </w:rPr>
        <w:t>3. Research goals</w:t>
      </w:r>
    </w:p>
    <w:p>
      <w:pPr>
        <w:spacing w:before="60" w:after="100"/>
      </w:pPr>
      <w:r>
        <w:rPr>
          <w:rFonts w:ascii="Public Sans" w:hAnsi="Public Sans"/>
          <w:color w:val="1F2A30"/>
        </w:rPr>
        <w:t>What the team will be able to do because of these findings.</w:t>
      </w:r>
    </w:p>
    <w:p>
      <w:pPr>
        <w:pStyle w:val="Heading1"/>
        <w:keepNext/>
        <w:spacing w:before="280" w:after="120"/>
      </w:pPr>
      <w:r>
        <w:rPr>
          <w:rFonts w:ascii="Public Sans" w:hAnsi="Public Sans"/>
          <w:color w:val="002436"/>
        </w:rPr>
        <w:t>4. Research questions</w:t>
      </w:r>
    </w:p>
    <w:p>
      <w:pPr>
        <w:spacing w:before="60" w:after="100"/>
      </w:pPr>
      <w:r>
        <w:rPr>
          <w:rFonts w:ascii="Public Sans" w:hAnsi="Public Sans"/>
          <w:color w:val="1F2A30"/>
        </w:rPr>
        <w:t>The specific, researchable, prioritized questions the study must answer. Give each an ID (RQ1, RQ2). Findings map back to these IDs at synthesis, and uncovered questions get flagged, so write questions you intend to answer.</w:t>
      </w:r>
    </w:p>
    <w:p>
      <w:pPr>
        <w:pStyle w:val="Heading1"/>
        <w:keepNext/>
        <w:spacing w:before="280" w:after="120"/>
      </w:pPr>
      <w:r>
        <w:rPr>
          <w:rFonts w:ascii="Public Sans" w:hAnsi="Public Sans"/>
          <w:color w:val="002436"/>
        </w:rPr>
        <w:t>5. Assumptions &amp; hypotheses to test</w:t>
      </w:r>
    </w:p>
    <w:p>
      <w:pPr>
        <w:spacing w:before="60" w:after="100"/>
      </w:pPr>
      <w:r>
        <w:rPr>
          <w:rFonts w:ascii="Public Sans" w:hAnsi="Public Sans"/>
          <w:color w:val="1F2A30"/>
        </w:rPr>
        <w:t>What you expect to find, stated so it can be disconfirmed, not just validated.</w:t>
      </w:r>
    </w:p>
    <w:p>
      <w:pPr>
        <w:pStyle w:val="Heading1"/>
        <w:keepNext/>
        <w:spacing w:before="280" w:after="120"/>
      </w:pPr>
      <w:r>
        <w:rPr>
          <w:rFonts w:ascii="Public Sans" w:hAnsi="Public Sans"/>
          <w:color w:val="002436"/>
        </w:rPr>
        <w:t>6. Out of scope</w:t>
      </w:r>
    </w:p>
    <w:p>
      <w:pPr>
        <w:spacing w:before="60" w:after="100"/>
      </w:pPr>
      <w:r>
        <w:rPr>
          <w:rFonts w:ascii="Public Sans" w:hAnsi="Public Sans"/>
          <w:color w:val="1F2A30"/>
        </w:rPr>
        <w:t>What this study explicitly will not address.</w:t>
      </w:r>
    </w:p>
    <w:p>
      <w:pPr>
        <w:pStyle w:val="Heading1"/>
        <w:keepNext/>
        <w:spacing w:before="280" w:after="120"/>
      </w:pPr>
      <w:r>
        <w:rPr>
          <w:rFonts w:ascii="Public Sans" w:hAnsi="Public Sans"/>
          <w:color w:val="002436"/>
        </w:rPr>
        <w:t>7. Methodology</w:t>
      </w:r>
    </w:p>
    <w:p>
      <w:pPr>
        <w:spacing w:before="60" w:after="100"/>
      </w:pPr>
      <w:r>
        <w:rPr>
          <w:rFonts w:ascii="Public Sans" w:hAnsi="Public Sans"/>
          <w:color w:val="1F2A30"/>
        </w:rPr>
        <w:t xml:space="preserve">Keep it brief. The method, </w:t>
      </w:r>
      <w:r>
        <w:rPr>
          <w:rFonts w:ascii="Public Sans" w:hAnsi="Public Sans"/>
          <w:b/>
          <w:color w:val="1F2A30"/>
        </w:rPr>
        <w:t>what it cannot tell you</w:t>
      </w:r>
      <w:r>
        <w:rPr>
          <w:rFonts w:ascii="Public Sans" w:hAnsi="Public Sans"/>
          <w:color w:val="1F2A30"/>
        </w:rPr>
        <w:t xml:space="preserve">, and the one or two tradeoffs that matter. Not the full rationale for the design — the audience is not academic and does not need the reasoning behind the study design. The per-method files in </w:t>
      </w:r>
      <w:r>
        <w:rPr>
          <w:rFonts w:ascii="Roboto Mono" w:hAnsi="Roboto Mono"/>
          <w:color w:val="1F2A30"/>
        </w:rPr>
        <w:t>methods/</w:t>
      </w:r>
      <w:r>
        <w:rPr>
          <w:rFonts w:ascii="Public Sans" w:hAnsi="Public Sans"/>
          <w:color w:val="1F2A30"/>
        </w:rPr>
        <w:t xml:space="preserve"> each carry a "what it cannot tell you" section written to be usable here verbatim. See </w:t>
      </w:r>
      <w:r>
        <w:rPr>
          <w:rFonts w:ascii="Roboto Mono" w:hAnsi="Roboto Mono"/>
          <w:color w:val="1F2A30"/>
        </w:rPr>
        <w:t>VOICE-AND-STYLE.md</w:t>
      </w:r>
      <w:r>
        <w:rPr>
          <w:rFonts w:ascii="Public Sans" w:hAnsi="Public Sans"/>
          <w:color w:val="1F2A30"/>
        </w:rPr>
        <w:t>, "Methods sections are brief."</w:t>
      </w:r>
    </w:p>
    <w:p>
      <w:pPr>
        <w:pStyle w:val="Heading1"/>
        <w:keepNext/>
        <w:spacing w:before="280" w:after="120"/>
      </w:pPr>
      <w:r>
        <w:rPr>
          <w:rFonts w:ascii="Public Sans" w:hAnsi="Public Sans"/>
          <w:color w:val="002436"/>
        </w:rPr>
        <w:t>8. Participants</w:t>
      </w:r>
    </w:p>
    <w:p>
      <w:pPr>
        <w:pStyle w:val="ListBullet"/>
        <w:spacing w:after="40"/>
      </w:pPr>
      <w:r>
        <w:rPr>
          <w:rFonts w:ascii="Public Sans" w:hAnsi="Public Sans"/>
          <w:color w:val="1F2A30"/>
        </w:rPr>
        <w:t>Profile: persona(s), product, role (operator vs end-user)</w:t>
      </w:r>
    </w:p>
    <w:p>
      <w:pPr>
        <w:pStyle w:val="ListBullet"/>
        <w:spacing w:after="40"/>
      </w:pPr>
      <w:r>
        <w:rPr>
          <w:rFonts w:ascii="Public Sans" w:hAnsi="Public Sans"/>
          <w:color w:val="1F2A30"/>
        </w:rPr>
        <w:t>Sample size with rationale (a rule of thumb with stated assumptions)</w:t>
      </w:r>
    </w:p>
    <w:p>
      <w:pPr>
        <w:pStyle w:val="ListBullet"/>
        <w:spacing w:after="40"/>
      </w:pPr>
      <w:r>
        <w:rPr>
          <w:rFonts w:ascii="Public Sans" w:hAnsi="Public Sans"/>
          <w:color w:val="1F2A30"/>
        </w:rPr>
        <w:t>Screening criteria that qualify participants in or out</w:t>
      </w:r>
    </w:p>
    <w:p>
      <w:pPr>
        <w:pStyle w:val="ListBullet"/>
        <w:spacing w:after="40"/>
      </w:pPr>
      <w:r>
        <w:rPr>
          <w:rFonts w:ascii="Public Sans" w:hAnsi="Public Sans"/>
          <w:color w:val="1F2A30"/>
        </w:rPr>
        <w:t xml:space="preserve">Participant type per the suite's taxonomy: </w:t>
      </w:r>
      <w:r>
        <w:rPr>
          <w:rFonts w:ascii="Roboto Mono" w:hAnsi="Roboto Mono"/>
          <w:color w:val="1F2A30"/>
        </w:rPr>
        <w:t>customer-direct</w:t>
      </w:r>
      <w:r>
        <w:rPr>
          <w:rFonts w:ascii="Public Sans" w:hAnsi="Public Sans"/>
          <w:color w:val="1F2A30"/>
        </w:rPr>
        <w:t xml:space="preserve">, </w:t>
      </w:r>
      <w:r>
        <w:rPr>
          <w:rFonts w:ascii="Roboto Mono" w:hAnsi="Roboto Mono"/>
          <w:color w:val="1F2A30"/>
        </w:rPr>
        <w:t>internal-direct</w:t>
      </w:r>
      <w:r>
        <w:rPr>
          <w:rFonts w:ascii="Public Sans" w:hAnsi="Public Sans"/>
          <w:color w:val="1F2A30"/>
        </w:rPr>
        <w:t xml:space="preserve">, </w:t>
      </w:r>
      <w:r>
        <w:rPr>
          <w:rFonts w:ascii="Roboto Mono" w:hAnsi="Roboto Mono"/>
          <w:color w:val="1F2A30"/>
        </w:rPr>
        <w:t>internal-proxy</w:t>
      </w:r>
      <w:r>
        <w:rPr>
          <w:rFonts w:ascii="Public Sans" w:hAnsi="Public Sans"/>
          <w:color w:val="1F2A30"/>
        </w:rPr>
        <w:t xml:space="preserve">, </w:t>
      </w:r>
      <w:r>
        <w:rPr>
          <w:rFonts w:ascii="Roboto Mono" w:hAnsi="Roboto Mono"/>
          <w:color w:val="1F2A30"/>
        </w:rPr>
        <w:t>sme-external</w:t>
      </w:r>
      <w:r>
        <w:rPr>
          <w:rFonts w:ascii="Public Sans" w:hAnsi="Public Sans"/>
          <w:color w:val="1F2A30"/>
        </w:rPr>
        <w:t>. This label travels onto every piece of evidence and sets the bar for the impact message later, so decide it now.</w:t>
      </w:r>
    </w:p>
    <w:p>
      <w:pPr>
        <w:pStyle w:val="ListBullet"/>
        <w:spacing w:after="40"/>
      </w:pPr>
      <w:r>
        <w:rPr>
          <w:rFonts w:ascii="Public Sans" w:hAnsi="Public Sans"/>
          <w:color w:val="1F2A30"/>
        </w:rPr>
        <w:t>Known limitations (proxy participants, access constraints)</w:t>
      </w:r>
    </w:p>
    <w:p>
      <w:pPr>
        <w:pStyle w:val="Heading1"/>
        <w:keepNext/>
        <w:spacing w:before="280" w:after="120"/>
      </w:pPr>
      <w:r>
        <w:rPr>
          <w:rFonts w:ascii="Public Sans" w:hAnsi="Public Sans"/>
          <w:color w:val="002436"/>
        </w:rPr>
        <w:t>9. Recruitment plan &amp; materials</w:t>
      </w:r>
    </w:p>
    <w:p>
      <w:pPr>
        <w:spacing w:before="60" w:after="100"/>
      </w:pPr>
      <w:r>
        <w:rPr>
          <w:rFonts w:ascii="Public Sans" w:hAnsi="Public Sans"/>
          <w:color w:val="1F2A30"/>
        </w:rPr>
        <w:t>Channel, screener (use the screener template), incentive, and the recruiting email. If customer recruitment routes through PMs and account teams, budget weeks, not days.</w:t>
      </w:r>
    </w:p>
    <w:p>
      <w:pPr>
        <w:pStyle w:val="Heading1"/>
        <w:keepNext/>
        <w:spacing w:before="280" w:after="120"/>
      </w:pPr>
      <w:r>
        <w:rPr>
          <w:rFonts w:ascii="Public Sans" w:hAnsi="Public Sans"/>
          <w:color w:val="002436"/>
        </w:rPr>
        <w:t>10. Materials</w:t>
      </w:r>
    </w:p>
    <w:p>
      <w:pPr>
        <w:spacing w:before="60" w:after="100"/>
      </w:pPr>
      <w:r>
        <w:rPr>
          <w:rFonts w:ascii="Public Sans" w:hAnsi="Public Sans"/>
          <w:color w:val="1F2A30"/>
        </w:rPr>
        <w:t xml:space="preserve">Note-taking form, consent form or NDA, prototype or stimuli, and the </w:t>
      </w:r>
      <w:r>
        <w:rPr>
          <w:rFonts w:ascii="Public Sans" w:hAnsi="Public Sans"/>
          <w:b/>
          <w:color w:val="1F2A30"/>
        </w:rPr>
        <w:t>participant tracker</w:t>
      </w:r>
      <w:r>
        <w:rPr>
          <w:rFonts w:ascii="Public Sans" w:hAnsi="Public Sans"/>
          <w:color w:val="1F2A30"/>
        </w:rPr>
        <w:t>: create it now from 06-participant-tracker.xlsx, before the first recruit, not after the first session.</w:t>
      </w:r>
    </w:p>
    <w:p>
      <w:pPr>
        <w:pStyle w:val="Heading1"/>
        <w:keepNext/>
        <w:spacing w:before="280" w:after="120"/>
      </w:pPr>
      <w:r>
        <w:rPr>
          <w:rFonts w:ascii="Public Sans" w:hAnsi="Public Sans"/>
          <w:color w:val="002436"/>
        </w:rPr>
        <w:t>11. Discussion guide / interview script</w:t>
      </w:r>
    </w:p>
    <w:p>
      <w:pPr>
        <w:spacing w:before="60" w:after="100"/>
      </w:pPr>
      <w:r>
        <w:rPr>
          <w:rFonts w:ascii="Public Sans" w:hAnsi="Public Sans"/>
          <w:color w:val="1F2A30"/>
        </w:rPr>
        <w:t>The session script, mapped to research questions. Use the discussion guide template; the guide has its own gate (§4.6) and is checked the moment it is drafted, not at release.</w:t>
      </w:r>
    </w:p>
    <w:p>
      <w:pPr>
        <w:pStyle w:val="Heading1"/>
        <w:keepNext/>
        <w:spacing w:before="280" w:after="120"/>
      </w:pPr>
      <w:r>
        <w:rPr>
          <w:rFonts w:ascii="Public Sans" w:hAnsi="Public Sans"/>
          <w:color w:val="002436"/>
        </w:rPr>
        <w:t>12. Analysis plan</w:t>
      </w:r>
    </w:p>
    <w:p>
      <w:pPr>
        <w:spacing w:before="60" w:after="100"/>
      </w:pPr>
      <w:r>
        <w:rPr>
          <w:rFonts w:ascii="Public Sans" w:hAnsi="Public Sans"/>
          <w:color w:val="1F2A30"/>
        </w:rPr>
        <w:t>How data will be organized, coded, and synthesized into findings, and the framework used. Findings land in the shape of the findings record.</w:t>
      </w:r>
    </w:p>
    <w:p>
      <w:pPr>
        <w:pStyle w:val="Heading1"/>
        <w:keepNext/>
        <w:spacing w:before="280" w:after="120"/>
      </w:pPr>
      <w:r>
        <w:rPr>
          <w:rFonts w:ascii="Public Sans" w:hAnsi="Public Sans"/>
          <w:color w:val="002436"/>
        </w:rPr>
        <w:t>13. Timeline &amp; milestones</w:t>
      </w:r>
    </w:p>
    <w:p>
      <w:pPr>
        <w:spacing w:before="60" w:after="100"/>
      </w:pPr>
      <w:r>
        <w:rPr>
          <w:rFonts w:ascii="Public Sans" w:hAnsi="Public Sans"/>
          <w:color w:val="1F2A30"/>
        </w:rPr>
        <w:t>Recruiting, sessions, analysis, and readout, with target dates.</w:t>
      </w:r>
    </w:p>
    <w:p>
      <w:pPr>
        <w:pStyle w:val="Heading1"/>
        <w:keepNext/>
        <w:spacing w:before="280" w:after="120"/>
      </w:pPr>
      <w:r>
        <w:rPr>
          <w:rFonts w:ascii="Public Sans" w:hAnsi="Public Sans"/>
          <w:color w:val="002436"/>
        </w:rPr>
        <w:t>14. Ethics, consent &amp; data handling</w:t>
      </w:r>
    </w:p>
    <w:p>
      <w:pPr>
        <w:spacing w:before="60" w:after="100"/>
      </w:pPr>
      <w:r>
        <w:rPr>
          <w:rFonts w:ascii="Public Sans" w:hAnsi="Public Sans"/>
          <w:color w:val="1F2A30"/>
        </w:rPr>
        <w:t>Informed consent and recording consent, de-identification (P-IDs in everything released; the tracker is the only identity map), storage location, and retention period. Record per participant whether consent covers quoting and recontact; the impact message depends on the recontact answer.</w:t>
      </w:r>
    </w:p>
    <w:p>
      <w:pPr>
        <w:pStyle w:val="Heading1"/>
        <w:keepNext/>
        <w:spacing w:before="280" w:after="120"/>
      </w:pPr>
      <w:r>
        <w:rPr>
          <w:rFonts w:ascii="Public Sans" w:hAnsi="Public Sans"/>
          <w:color w:val="002436"/>
        </w:rPr>
        <w:t>15. Output, audience &amp; distribution</w:t>
      </w:r>
    </w:p>
    <w:p>
      <w:pPr>
        <w:spacing w:before="60" w:after="100"/>
      </w:pPr>
      <w:r>
        <w:rPr>
          <w:rFonts w:ascii="Public Sans" w:hAnsi="Public Sans"/>
          <w:color w:val="1F2A30"/>
        </w:rPr>
        <w:t>Deliverable format, who acts on it and by when, and how findings will be shared. Name the destination tier (internal-team, internal-org, external); the safety gate checks against it.</w:t>
      </w:r>
    </w:p>
    <w:p>
      <w:pPr>
        <w:pStyle w:val="Heading1"/>
        <w:keepNext/>
        <w:spacing w:before="280" w:after="120"/>
      </w:pPr>
      <w:r>
        <w:rPr>
          <w:rFonts w:ascii="Public Sans" w:hAnsi="Public Sans"/>
          <w:color w:val="002436"/>
        </w:rPr>
        <w:t>16. Risks &amp; limitations</w:t>
      </w:r>
    </w:p>
    <w:p>
      <w:pPr>
        <w:spacing w:before="60" w:after="100"/>
      </w:pPr>
      <w:r>
        <w:rPr>
          <w:rFonts w:ascii="Public Sans" w:hAnsi="Public Sans"/>
          <w:color w:val="1F2A30"/>
        </w:rPr>
        <w:t>What could undermine the study's validity or usefulness, and mitigations.</w:t>
      </w:r>
    </w:p>
    <w:p>
      <w:pPr>
        <w:spacing w:before="60" w:after="100"/>
      </w:pPr>
      <w:r>
        <w:rPr>
          <w:rFonts w:ascii="Public Sans" w:hAnsi="Public Sans"/>
          <w:i/>
          <w:color w:val="1F2A30"/>
        </w:rPr>
        <w:t>Part of the Dr. Morgan UX research suite. Manual alternative to `ux_plan_from_scratch.md`; the checkers and release process apply either way.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Public Sans" w:hAnsi="Public Sans"/>
        <w:i/>
        <w:color w:val="5C6670"/>
        <w:sz w:val="18"/>
      </w:rPr>
      <w:t>Dr. Morgan UX research suite · template</w:t>
    </w:r>
    <w:r>
      <w:tab/>
    </w:r>
    <w:r>
      <w:rPr>
        <w:rFonts w:ascii="Public Sans" w:hAnsi="Public Sans"/>
        <w:color w:val="5C6670"/>
        <w:sz w:val="18"/>
      </w:rPr>
      <w:t xml:space="preserve">Page </w:t>
    </w:r>
    <w:r>
      <w:rPr>
        <w:rFonts w:ascii="Public Sans" w:hAnsi="Public Sans"/>
        <w:color w:val="5C66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4" w:space="4" w:color="002436"/>
      </w:pBdr>
    </w:pPr>
    <w:r>
      <w:rPr>
        <w:rFonts w:ascii="Public Sans" w:hAnsi="Public Sans"/>
        <w:b/>
        <w:color w:val="002436"/>
        <w:sz w:val="18"/>
      </w:rPr>
      <w:t>UX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Public Sans" w:hAnsi="Public Sans"/>
      <w:color w:val="1F2A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