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2436"/>
          <w:sz w:val="56"/>
        </w:rPr>
        <w:t>Participant screener</w:t>
      </w:r>
    </w:p>
    <w:p>
      <w:pPr>
        <w:spacing w:after="120"/>
        <w:pBdr>
          <w:bottom w:val="single" w:sz="8" w:space="6" w:color="002436"/>
        </w:pBdr>
      </w:pPr>
      <w:r>
        <w:rPr>
          <w:rFonts w:ascii="Public Sans" w:hAnsi="Public Sans"/>
          <w:b/>
          <w:color w:val="00537E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F2A30"/>
        </w:rPr>
        <w:t>The screener decides who gets into the study, which makes it the cheapest place to protect the findings. A wrong participant costs a session; a wrong screener costs the sample.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SCREENER — [Study name]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Target profile:   [persona, product, role — from plan §8]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Target n:         [count, per segment if segmented]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Quotas:           [e.g., at least 4 operators, at most 2 on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               [the simpler deployment type]]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Owner:            [who reviews responses and makes the call]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Qualification criteria</w:t>
      </w:r>
    </w:p>
    <w:p>
      <w:pPr>
        <w:spacing w:before="60" w:after="100"/>
      </w:pPr>
      <w:r>
        <w:rPr>
          <w:rFonts w:ascii="Public Sans" w:hAnsi="Public Sans"/>
          <w:color w:val="1F2A30"/>
        </w:rPr>
        <w:t>Two explicit lists, written before the questions. Every question below must serve one of these; delete any that serves neither.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Qualifies in:</w:t>
      </w:r>
      <w:r>
        <w:rPr>
          <w:rFonts w:ascii="Public Sans" w:hAnsi="Public Sans"/>
          <w:color w:val="1F2A30"/>
        </w:rPr>
        <w:t xml:space="preserve"> [behaviors, responsibilities, and contexts that make someone the participant the study needs]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F2A30"/>
        </w:rPr>
        <w:t>Qualifies out:</w:t>
      </w:r>
      <w:r>
        <w:rPr>
          <w:rFonts w:ascii="Public Sans" w:hAnsi="Public Sans"/>
          <w:color w:val="1F2A30"/>
        </w:rPr>
        <w:t xml:space="preserve"> [disqualifiers: wrong role, no relevant recent experience, conflict of interest, participated in related study recently]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Questions</w:t>
      </w:r>
    </w:p>
    <w:p>
      <w:pPr>
        <w:spacing w:before="60" w:after="100"/>
      </w:pPr>
      <w:r>
        <w:rPr>
          <w:rFonts w:ascii="Public Sans" w:hAnsi="Public Sans"/>
          <w:color w:val="1F2A30"/>
        </w:rPr>
        <w:t>Rules of craft: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Screen on behavior, not identity.</w:t>
      </w:r>
      <w:r>
        <w:rPr>
          <w:rFonts w:ascii="Public Sans" w:hAnsi="Public Sans"/>
          <w:color w:val="1F2A30"/>
        </w:rPr>
        <w:t xml:space="preserve"> "In the last 6 months, have you set up [workflow] for a team?" beats "Are you a platform engineer?" Titles vary; behavior is what the study needs.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Never reveal the desired answer.</w:t>
      </w:r>
      <w:r>
        <w:rPr>
          <w:rFonts w:ascii="Public Sans" w:hAnsi="Public Sans"/>
          <w:color w:val="1F2A30"/>
        </w:rPr>
        <w:t xml:space="preserve"> Multiple-choice options should make the qualifying answer indistinguishable from the others. If a candidate can guess what you want to hear, some will say it.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Bound the recall window.</w:t>
      </w:r>
      <w:r>
        <w:rPr>
          <w:rFonts w:ascii="Public Sans" w:hAnsi="Public Sans"/>
          <w:color w:val="1F2A30"/>
        </w:rPr>
        <w:t xml:space="preserve"> "In the last 6 months" rather than "ever."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Collect it once.</w:t>
      </w:r>
      <w:r>
        <w:rPr>
          <w:rFonts w:ascii="Public Sans" w:hAnsi="Public Sans"/>
          <w:color w:val="1F2A30"/>
        </w:rPr>
        <w:t xml:space="preserve"> Anything the screener captures does not get re-asked in the session (§4.6 item 19). Whatever the guide needs, hand it to the moderator via the tracker.</w:t>
      </w:r>
    </w:p>
    <w:p>
      <w:pPr>
        <w:spacing w:before="60" w:after="100"/>
        <w:ind w:left="360"/>
        <w:numPr>
          <w:ilvl w:val="0"/>
          <w:numId w:val="10"/>
        </w:numPr>
      </w:pPr>
      <w:r>
        <w:rPr>
          <w:rFonts w:ascii="Public Sans" w:hAnsi="Public Sans"/>
          <w:b/>
          <w:color w:val="1F2A30"/>
        </w:rPr>
        <w:t>For SME recruitment</w:t>
      </w:r>
      <w:r>
        <w:rPr>
          <w:rFonts w:ascii="Public Sans" w:hAnsi="Public Sans"/>
          <w:color w:val="1F2A30"/>
        </w:rPr>
        <w:t xml:space="preserve">, screen for role and task alignment with the actual user persona, not just industry. Findings from </w:t>
      </w:r>
      <w:r>
        <w:rPr>
          <w:rFonts w:ascii="Roboto Mono" w:hAnsi="Roboto Mono"/>
          <w:color w:val="1F2A30"/>
        </w:rPr>
        <w:t>sme-external</w:t>
      </w:r>
      <w:r>
        <w:rPr>
          <w:rFonts w:ascii="Public Sans" w:hAnsi="Public Sans"/>
          <w:color w:val="1F2A30"/>
        </w:rPr>
        <w:t xml:space="preserve"> participants are disclosed as such, so the alignment has to be real.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>Q1. [screening question]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( ) option — qualifies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( ) option — disqualifies</w:t>
      </w:r>
    </w:p>
    <w:p>
      <w:pPr>
        <w:spacing w:before="0" w:after="0"/>
        <w:ind w:left="216"/>
        <w:shd w:val="clear" w:fill="F0F3F4"/>
      </w:pPr>
      <w:r>
        <w:rPr>
          <w:rFonts w:ascii="Roboto Mono" w:hAnsi="Roboto Mono"/>
          <w:color w:val="1F2A30"/>
          <w:sz w:val="17"/>
        </w:rPr>
        <w:t xml:space="preserve">    ( ) option — disqualifies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2436"/>
        </w:rPr>
        <w:t>Handling responses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Where responses are stored, who can see them, and the retention period (consistent with plan §14).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What disqualified candidates are told. Thank them; do not tell them why they did not qualify, which teaches future candidates the answers.</w:t>
      </w:r>
    </w:p>
    <w:p>
      <w:pPr>
        <w:pStyle w:val="ListBullet"/>
        <w:spacing w:after="40"/>
      </w:pPr>
      <w:r>
        <w:rPr>
          <w:rFonts w:ascii="Public Sans" w:hAnsi="Public Sans"/>
          <w:color w:val="1F2A30"/>
        </w:rPr>
        <w:t>Qualified candidates go into the participant tracker with a P-ID assigned at entry. From this point on, the tracker is the only place identity and P-ID meet.</w:t>
      </w:r>
    </w:p>
    <w:p>
      <w:pPr>
        <w:spacing w:before="60" w:after="100"/>
      </w:pPr>
      <w:r>
        <w:rPr>
          <w:rFonts w:ascii="Public Sans" w:hAnsi="Public Sans"/>
          <w:i/>
          <w:color w:val="1F2A30"/>
        </w:rPr>
        <w:t>Part of the Dr. Morgan UX research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C6670"/>
        <w:sz w:val="18"/>
      </w:rPr>
      <w:t>Dr. Morgan UX research suite · template</w:t>
    </w:r>
    <w:r>
      <w:tab/>
    </w:r>
    <w:r>
      <w:rPr>
        <w:rFonts w:ascii="Public Sans" w:hAnsi="Public Sans"/>
        <w:color w:val="5C6670"/>
        <w:sz w:val="18"/>
      </w:rPr>
      <w:t xml:space="preserve">Page </w:t>
    </w:r>
    <w:r>
      <w:rPr>
        <w:rFonts w:ascii="Public Sans" w:hAnsi="Public Sans"/>
        <w:color w:val="5C66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2436"/>
      </w:pBdr>
    </w:pPr>
    <w:r>
      <w:rPr>
        <w:rFonts w:ascii="Public Sans" w:hAnsi="Public Sans"/>
        <w:b/>
        <w:color w:val="002436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