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Public Sans" w:hAnsi="Public Sans"/>
          <w:b/>
          <w:color w:val="002436"/>
          <w:sz w:val="56"/>
        </w:rPr>
        <w:t>Research readout deck</w:t>
      </w:r>
    </w:p>
    <w:p>
      <w:pPr>
        <w:spacing w:after="120"/>
        <w:pBdr>
          <w:bottom w:val="single" w:sz="8" w:space="6" w:color="002436"/>
        </w:pBdr>
      </w:pPr>
      <w:r>
        <w:rPr>
          <w:rFonts w:ascii="Public Sans" w:hAnsi="Public Sans"/>
          <w:b/>
          <w:color w:val="00537E"/>
          <w:sz w:val="32"/>
        </w:rPr>
        <w:t>Template</w:t>
      </w:r>
    </w:p>
    <w:p>
      <w:pPr>
        <w:spacing w:before="60" w:after="100"/>
      </w:pPr>
      <w:r>
        <w:rPr>
          <w:rFonts w:ascii="Public Sans" w:hAnsi="Public Sans"/>
          <w:color w:val="1F2A30"/>
        </w:rPr>
        <w:t xml:space="preserve">Findings-first slides for a mixed PM, Eng, and Design room. The deck renders only what exists in passed findings records; a slide that needs a quote needs the quote to already be in a record. §4.4 of </w:t>
      </w:r>
      <w:r>
        <w:rPr>
          <w:rFonts w:ascii="Roboto Mono" w:hAnsi="Roboto Mono"/>
          <w:color w:val="1F2A30"/>
        </w:rPr>
        <w:t>EVALUATION-LOOP.md</w:t>
      </w:r>
      <w:r>
        <w:rPr>
          <w:rFonts w:ascii="Public Sans" w:hAnsi="Public Sans"/>
          <w:color w:val="1F2A30"/>
        </w:rPr>
        <w:t xml:space="preserve"> is the Definition of Done, and </w:t>
      </w:r>
      <w:r>
        <w:rPr>
          <w:rFonts w:ascii="Roboto Mono" w:hAnsi="Roboto Mono"/>
          <w:color w:val="1F2A30"/>
        </w:rPr>
        <w:t>skills/research-readout-deck</w:t>
      </w:r>
      <w:r>
        <w:rPr>
          <w:rFonts w:ascii="Public Sans" w:hAnsi="Public Sans"/>
          <w:color w:val="1F2A30"/>
        </w:rPr>
        <w:t xml:space="preserve"> carries slide-by-slide recipes.</w:t>
      </w:r>
    </w:p>
    <w:p>
      <w:pPr>
        <w:spacing w:before="60" w:after="100"/>
      </w:pPr>
      <w:r>
        <w:rPr>
          <w:rFonts w:ascii="Public Sans" w:hAnsi="Public Sans"/>
          <w:b/>
          <w:color w:val="1F2A30"/>
        </w:rPr>
        <w:t>Slide budget: ~15.</w:t>
      </w:r>
      <w:r>
        <w:rPr>
          <w:rFonts w:ascii="Public Sans" w:hAnsi="Public Sans"/>
          <w:color w:val="1F2A30"/>
        </w:rPr>
        <w:t xml:space="preserve"> A readout should be skimmable. The spine when you are at budget: Title, Summary, Recommendations shortlist, one Methodology, Findings summary, the 4–6 strongest evidence slides, one synthesis statement, What's next, Full recommendations list. First cuts when over: standalone Agenda, Context slides, redundant per-participant slides, and standalone quote slides (fold the quote into its evidence slide).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2436"/>
        </w:rPr>
        <w:t>The arc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Title</w:t>
      </w:r>
      <w:r>
        <w:rPr>
          <w:rFonts w:ascii="Public Sans" w:hAnsi="Public Sans"/>
          <w:color w:val="1F2A30"/>
        </w:rPr>
        <w:t xml:space="preserve"> — feature name, "UX Research Findings &amp; Recommendations," contributors and roles, date.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Agenda</w:t>
      </w:r>
      <w:r>
        <w:rPr>
          <w:rFonts w:ascii="Public Sans" w:hAnsi="Public Sans"/>
          <w:color w:val="1F2A30"/>
        </w:rPr>
        <w:t xml:space="preserve"> — optional at budget.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Context</w:t>
      </w:r>
      <w:r>
        <w:rPr>
          <w:rFonts w:ascii="Public Sans" w:hAnsi="Public Sans"/>
          <w:color w:val="1F2A30"/>
        </w:rPr>
        <w:t xml:space="preserve"> (optional) — current vs new state, or what was tested, with a screenshot or two.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Summary</w:t>
      </w:r>
      <w:r>
        <w:rPr>
          <w:rFonts w:ascii="Public Sans" w:hAnsi="Public Sans"/>
          <w:color w:val="1F2A30"/>
        </w:rPr>
        <w:t xml:space="preserve"> — three columns: what went well / where it can evolve / how we move forward. Lead with the single headline stat or takeaway.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Recommendations shortlist</w:t>
      </w:r>
      <w:r>
        <w:rPr>
          <w:rFonts w:ascii="Public Sans" w:hAnsi="Public Sans"/>
          <w:color w:val="1F2A30"/>
        </w:rPr>
        <w:t xml:space="preserve"> — the 3–6 that matter most, numbered, key phrase bolded.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Findings, per method:</w:t>
      </w:r>
    </w:p>
    <w:p>
      <w:pPr>
        <w:pStyle w:val="ListBullet2"/>
        <w:spacing w:after="40"/>
      </w:pPr>
      <w:r>
        <w:rPr>
          <w:rFonts w:ascii="Public Sans" w:hAnsi="Public Sans"/>
          <w:b/>
          <w:color w:val="1F2A30"/>
        </w:rPr>
        <w:t>Methodology</w:t>
      </w:r>
      <w:r>
        <w:rPr>
          <w:rFonts w:ascii="Public Sans" w:hAnsi="Public Sans"/>
          <w:color w:val="1F2A30"/>
        </w:rPr>
        <w:t xml:space="preserve"> ("Who participated"): n, segments, cadence, limitations. State participant type plainly (external SMEs are disclosed as "external SME participants, not actual customers"). This is the one slide where method belongs — elsewhere, state findings as customer facts, not as what the study did. A finding's </w:t>
      </w:r>
      <w:r>
        <w:rPr>
          <w:rFonts w:ascii="Roboto Mono" w:hAnsi="Roboto Mono"/>
          <w:color w:val="1F2A30"/>
        </w:rPr>
        <w:t>confidence</w:t>
      </w:r>
      <w:r>
        <w:rPr>
          <w:rFonts w:ascii="Public Sans" w:hAnsi="Public Sans"/>
          <w:color w:val="1F2A30"/>
        </w:rPr>
        <w:t xml:space="preserve"> and </w:t>
      </w:r>
      <w:r>
        <w:rPr>
          <w:rFonts w:ascii="Roboto Mono" w:hAnsi="Roboto Mono"/>
          <w:color w:val="1F2A30"/>
        </w:rPr>
        <w:t>limits</w:t>
      </w:r>
      <w:r>
        <w:rPr>
          <w:rFonts w:ascii="Public Sans" w:hAnsi="Public Sans"/>
          <w:color w:val="1F2A30"/>
        </w:rPr>
        <w:t xml:space="preserve"> stay in the record and speaker notes always; on an </w:t>
      </w:r>
      <w:r>
        <w:rPr>
          <w:rFonts w:ascii="Roboto Mono" w:hAnsi="Roboto Mono"/>
          <w:color w:val="1F2A30"/>
        </w:rPr>
        <w:t>internal-team</w:t>
      </w:r>
      <w:r>
        <w:rPr>
          <w:rFonts w:ascii="Public Sans" w:hAnsi="Public Sans"/>
          <w:color w:val="1F2A30"/>
        </w:rPr>
        <w:t xml:space="preserve"> deck a weak-signal qualifier may sit in the notes or be left off the deck, but on an </w:t>
      </w:r>
      <w:r>
        <w:rPr>
          <w:rFonts w:ascii="Roboto Mono" w:hAnsi="Roboto Mono"/>
          <w:color w:val="1F2A30"/>
        </w:rPr>
        <w:t>internal-org</w:t>
      </w:r>
      <w:r>
        <w:rPr>
          <w:rFonts w:ascii="Public Sans" w:hAnsi="Public Sans"/>
          <w:color w:val="1F2A30"/>
        </w:rPr>
        <w:t xml:space="preserve"> or </w:t>
      </w:r>
      <w:r>
        <w:rPr>
          <w:rFonts w:ascii="Roboto Mono" w:hAnsi="Roboto Mono"/>
          <w:color w:val="1F2A30"/>
        </w:rPr>
        <w:t>external</w:t>
      </w:r>
      <w:r>
        <w:rPr>
          <w:rFonts w:ascii="Public Sans" w:hAnsi="Public Sans"/>
          <w:color w:val="1F2A30"/>
        </w:rPr>
        <w:t xml:space="preserve"> deck it must appear on the slide or a marked notes line.</w:t>
      </w:r>
    </w:p>
    <w:p>
      <w:pPr>
        <w:pStyle w:val="ListBullet2"/>
        <w:spacing w:after="40"/>
      </w:pPr>
      <w:r>
        <w:rPr>
          <w:rFonts w:ascii="Public Sans" w:hAnsi="Public Sans"/>
          <w:b/>
          <w:color w:val="1F2A30"/>
        </w:rPr>
        <w:t>Findings summary</w:t>
      </w:r>
      <w:r>
        <w:rPr>
          <w:rFonts w:ascii="Public Sans" w:hAnsi="Public Sans"/>
          <w:color w:val="1F2A30"/>
        </w:rPr>
        <w:t xml:space="preserve"> — the numbered takeaways for that method.</w:t>
      </w:r>
    </w:p>
    <w:p>
      <w:pPr>
        <w:pStyle w:val="ListBullet2"/>
        <w:spacing w:after="40"/>
      </w:pPr>
      <w:r>
        <w:rPr>
          <w:rFonts w:ascii="Public Sans" w:hAnsi="Public Sans"/>
          <w:b/>
          <w:color w:val="1F2A30"/>
        </w:rPr>
        <w:t>Evidence slides</w:t>
      </w:r>
      <w:r>
        <w:rPr>
          <w:rFonts w:ascii="Public Sans" w:hAnsi="Public Sans"/>
          <w:color w:val="1F2A30"/>
        </w:rPr>
        <w:t>, shaped to the method:</w:t>
      </w:r>
    </w:p>
    <w:p>
      <w:pPr>
        <w:pStyle w:val="ListBullet2"/>
        <w:spacing w:after="40"/>
      </w:pPr>
      <w:r>
        <w:rPr>
          <w:rFonts w:ascii="Public Sans" w:hAnsi="Public Sans"/>
          <w:color w:val="1F2A30"/>
        </w:rPr>
        <w:t>Usability: task-by-task results (completion, where people got stuck, severity-rated issues), the observed behavior behind each issue, and a verbatim quote. Lead with the issue and severity, not the task number.</w:t>
      </w:r>
    </w:p>
    <w:p>
      <w:pPr>
        <w:pStyle w:val="ListBullet2"/>
        <w:spacing w:after="40"/>
      </w:pPr>
      <w:r>
        <w:rPr>
          <w:rFonts w:ascii="Public Sans" w:hAnsi="Public Sans"/>
          <w:color w:val="1F2A30"/>
        </w:rPr>
        <w:t>Interviews: per-participant deep-dives (user type / primary use case / unmet needs), themed finding-plus-interpretation slides, synthesis statements.</w:t>
      </w:r>
    </w:p>
    <w:p>
      <w:pPr>
        <w:pStyle w:val="ListBullet2"/>
        <w:spacing w:after="40"/>
      </w:pPr>
      <w:r>
        <w:rPr>
          <w:rFonts w:ascii="Public Sans" w:hAnsi="Public Sans"/>
          <w:color w:val="1F2A30"/>
        </w:rPr>
        <w:t>Survey or quant: ratings tables and ranked lists, with exact ns.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Quote slides</w:t>
      </w:r>
      <w:r>
        <w:rPr>
          <w:rFonts w:ascii="Public Sans" w:hAnsi="Public Sans"/>
          <w:color w:val="1F2A30"/>
        </w:rPr>
        <w:t xml:space="preserve"> — interspersed, not clustered. One verbatim quote, large, attributed by role or segment (P-IDs or segment labels; never identity).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Synthesis statement</w:t>
      </w:r>
      <w:r>
        <w:rPr>
          <w:rFonts w:ascii="Public Sans" w:hAnsi="Public Sans"/>
          <w:color w:val="1F2A30"/>
        </w:rPr>
        <w:t xml:space="preserve"> — an occasional full-bleed single-insight slide naming the throughline.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What's next</w:t>
      </w:r>
      <w:r>
        <w:rPr>
          <w:rFonts w:ascii="Public Sans" w:hAnsi="Public Sans"/>
          <w:color w:val="1F2A30"/>
        </w:rPr>
        <w:t xml:space="preserve"> — roadmap, owners, timing; tie findings to upcoming work.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Full recommendations and feature requests</w:t>
      </w:r>
      <w:r>
        <w:rPr>
          <w:rFonts w:ascii="Public Sans" w:hAnsi="Public Sans"/>
          <w:color w:val="1F2A30"/>
        </w:rPr>
        <w:t xml:space="preserve"> — the complete numbered backlog; can span slides.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Thanks</w:t>
      </w:r>
      <w:r>
        <w:rPr>
          <w:rFonts w:ascii="Public Sans" w:hAnsi="Public Sans"/>
          <w:color w:val="1F2A30"/>
        </w:rPr>
        <w:t xml:space="preserve">, then </w:t>
      </w:r>
      <w:r>
        <w:rPr>
          <w:rFonts w:ascii="Public Sans" w:hAnsi="Public Sans"/>
          <w:b/>
          <w:color w:val="1F2A30"/>
        </w:rPr>
        <w:t>Appendix</w:t>
      </w:r>
      <w:r>
        <w:rPr>
          <w:rFonts w:ascii="Public Sans" w:hAnsi="Public Sans"/>
          <w:color w:val="1F2A30"/>
        </w:rPr>
        <w:t xml:space="preserve"> — reference documents and links.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2436"/>
        </w:rPr>
        <w:t>Craft notes</w:t>
      </w:r>
    </w:p>
    <w:p>
      <w:pPr>
        <w:pStyle w:val="ListBullet"/>
        <w:spacing w:after="40"/>
      </w:pPr>
      <w:r>
        <w:rPr>
          <w:rFonts w:ascii="Public Sans" w:hAnsi="Public Sans"/>
          <w:color w:val="1F2A30"/>
        </w:rPr>
        <w:t>Keep observation, interpretation, and recommendation visually and verbally separate; the room must be able to tell what was seen from what you concluded.</w:t>
      </w:r>
    </w:p>
    <w:p>
      <w:pPr>
        <w:pStyle w:val="ListBullet"/>
        <w:spacing w:after="40"/>
      </w:pPr>
      <w:r>
        <w:rPr>
          <w:rFonts w:ascii="Public Sans" w:hAnsi="Public Sans"/>
          <w:b/>
          <w:color w:val="1F2A30"/>
        </w:rPr>
        <w:t>Findings read as customer facts, scoped to their segment.</w:t>
      </w:r>
      <w:r>
        <w:rPr>
          <w:rFonts w:ascii="Public Sans" w:hAnsi="Public Sans"/>
          <w:color w:val="1F2A30"/>
        </w:rPr>
        <w:t xml:space="preserve"> State what the customer does, wants, or faces — not "interviews showed…". Scope the copy to the sample: "This segment…", "operators running many live clusters…", never a universal "Customers want…" the sample can't support.</w:t>
      </w:r>
    </w:p>
    <w:p>
      <w:pPr>
        <w:pStyle w:val="ListBullet"/>
        <w:spacing w:after="40"/>
      </w:pPr>
      <w:r>
        <w:rPr>
          <w:rFonts w:ascii="Public Sans" w:hAnsi="Public Sans"/>
          <w:color w:val="1F2A30"/>
        </w:rPr>
        <w:t>Exact counts on every claim ("5 of 8"), never "most."</w:t>
      </w:r>
    </w:p>
    <w:p>
      <w:pPr>
        <w:pStyle w:val="ListBullet"/>
        <w:spacing w:after="40"/>
      </w:pPr>
      <w:r>
        <w:rPr>
          <w:rFonts w:ascii="Public Sans" w:hAnsi="Public Sans"/>
          <w:b/>
          <w:color w:val="1F2A30"/>
        </w:rPr>
        <w:t>Order findings by the story and number them in that order.</w:t>
      </w:r>
      <w:r>
        <w:rPr>
          <w:rFonts w:ascii="Public Sans" w:hAnsi="Public Sans"/>
          <w:color w:val="1F2A30"/>
        </w:rPr>
        <w:t xml:space="preserve"> F1 → F2 → F3 is presentation order, not analysis order; re-order and you renumber, updating every cross-reference (summary slide, next-steps tags, follow-up links, notes) so no F# points at the wrong finding.</w:t>
      </w:r>
    </w:p>
    <w:p>
      <w:pPr>
        <w:pStyle w:val="ListBullet"/>
        <w:spacing w:after="40"/>
      </w:pPr>
      <w:r>
        <w:rPr>
          <w:rFonts w:ascii="Public Sans" w:hAnsi="Public Sans"/>
          <w:b/>
          <w:color w:val="1F2A30"/>
        </w:rPr>
        <w:t>Verbatim and paraphrase render differently.</w:t>
      </w:r>
      <w:r>
        <w:rPr>
          <w:rFonts w:ascii="Public Sans" w:hAnsi="Public Sans"/>
          <w:color w:val="1F2A30"/>
        </w:rPr>
        <w:t xml:space="preserve"> A verbatim quote is a blockquote — quotation marks, italic, an accent bar; a paraphrase is upright, no quotation marks, visibly not a quote, attribution small beneath. Never set a paraphrase in quotation marks.</w:t>
      </w:r>
    </w:p>
    <w:p>
      <w:pPr>
        <w:pStyle w:val="ListBullet"/>
        <w:spacing w:after="40"/>
      </w:pPr>
      <w:r>
        <w:rPr>
          <w:rFonts w:ascii="Public Sans" w:hAnsi="Public Sans"/>
          <w:b/>
          <w:color w:val="1F2A30"/>
        </w:rPr>
        <w:t>Title, claim, and quote read as different layers.</w:t>
      </w:r>
      <w:r>
        <w:rPr>
          <w:rFonts w:ascii="Public Sans" w:hAnsi="Public Sans"/>
          <w:color w:val="1F2A30"/>
        </w:rPr>
        <w:t xml:space="preserve"> On a finding slide the title (the claim) is the largest, boldest, upright text; the quote sits lower, smaller, italic, behind the accent bar. A skim should tell your finding from the participant's words by size and weight alone.</w:t>
      </w:r>
    </w:p>
    <w:p>
      <w:pPr>
        <w:pStyle w:val="ListBullet"/>
        <w:spacing w:after="40"/>
      </w:pPr>
      <w:r>
        <w:rPr>
          <w:rFonts w:ascii="Public Sans" w:hAnsi="Public Sans"/>
          <w:b/>
          <w:color w:val="1F2A30"/>
        </w:rPr>
        <w:t>Recommendation and workstream owners are teams or roles</w:t>
      </w:r>
      <w:r>
        <w:rPr>
          <w:rFonts w:ascii="Public Sans" w:hAnsi="Public Sans"/>
          <w:color w:val="1F2A30"/>
        </w:rPr>
        <w:t xml:space="preserve"> — Design, PM, Eng — never a person's name. Drop parenthetical name tags ("(via David)") and on-slide owner-name labels.</w:t>
      </w:r>
    </w:p>
    <w:p>
      <w:pPr>
        <w:pStyle w:val="ListBullet"/>
        <w:spacing w:after="40"/>
      </w:pPr>
      <w:r>
        <w:rPr>
          <w:rFonts w:ascii="Public Sans" w:hAnsi="Public Sans"/>
          <w:b/>
          <w:color w:val="1F2A30"/>
        </w:rPr>
        <w:t>Every slide's speaker notes open with `WHAT THIS SLIDE MEANS`</w:t>
      </w:r>
      <w:r>
        <w:rPr>
          <w:rFonts w:ascii="Public Sans" w:hAnsi="Public Sans"/>
          <w:color w:val="1F2A30"/>
        </w:rPr>
        <w:t xml:space="preserve"> — a plain-language gloss for the async reader who wasn't in the room. The notes also carry method, provenance, and any qualifier dropped from an </w:t>
      </w:r>
      <w:r>
        <w:rPr>
          <w:rFonts w:ascii="Roboto Mono" w:hAnsi="Roboto Mono"/>
          <w:color w:val="1F2A30"/>
        </w:rPr>
        <w:t>internal-team</w:t>
      </w:r>
      <w:r>
        <w:rPr>
          <w:rFonts w:ascii="Public Sans" w:hAnsi="Public Sans"/>
          <w:color w:val="1F2A30"/>
        </w:rPr>
        <w:t xml:space="preserve"> slide face.</w:t>
      </w:r>
    </w:p>
    <w:p>
      <w:pPr>
        <w:pStyle w:val="ListBullet"/>
        <w:spacing w:after="40"/>
      </w:pPr>
      <w:r>
        <w:rPr>
          <w:rFonts w:ascii="Public Sans" w:hAnsi="Public Sans"/>
          <w:b/>
          <w:color w:val="1F2A30"/>
        </w:rPr>
        <w:t>Plain language on the slide face and in the notes</w:t>
      </w:r>
      <w:r>
        <w:rPr>
          <w:rFonts w:ascii="Public Sans" w:hAnsi="Public Sans"/>
          <w:color w:val="1F2A30"/>
        </w:rPr>
        <w:t xml:space="preserve"> — everyday words over formal ones, jargon and acronyms spelled out; the </w:t>
      </w:r>
      <w:r>
        <w:rPr>
          <w:rFonts w:ascii="Roboto Mono" w:hAnsi="Roboto Mono"/>
          <w:color w:val="1F2A30"/>
        </w:rPr>
        <w:t>research-readability-checker</w:t>
      </w:r>
      <w:r>
        <w:rPr>
          <w:rFonts w:ascii="Public Sans" w:hAnsi="Public Sans"/>
          <w:color w:val="1F2A30"/>
        </w:rPr>
        <w:t xml:space="preserve"> gate scores it (VOICE item 23). No author or book names, and research vocabulary gets the plain swap in VOICE Part 3 (VOICE items 19 and 25).</w:t>
      </w:r>
    </w:p>
    <w:p>
      <w:pPr>
        <w:pStyle w:val="ListBullet"/>
        <w:spacing w:after="40"/>
      </w:pPr>
      <w:r>
        <w:rPr>
          <w:rFonts w:ascii="Public Sans" w:hAnsi="Public Sans"/>
          <w:color w:val="1F2A30"/>
        </w:rPr>
        <w:t>Visual weight tracks evidence strength; the strongest finding is not the smallest slide.</w:t>
      </w:r>
    </w:p>
    <w:p>
      <w:pPr>
        <w:pStyle w:val="ListBullet"/>
        <w:spacing w:after="40"/>
      </w:pPr>
      <w:r>
        <w:rPr>
          <w:rFonts w:ascii="Public Sans" w:hAnsi="Public Sans"/>
          <w:color w:val="1F2A30"/>
        </w:rPr>
        <w:t>Surface the product's value where a finding supports it — sourced to the evidence, not a soft positive bolted on to balance every gap.</w:t>
      </w:r>
    </w:p>
    <w:p>
      <w:pPr>
        <w:pStyle w:val="ListBullet"/>
        <w:spacing w:after="40"/>
      </w:pPr>
      <w:r>
        <w:rPr>
          <w:rFonts w:ascii="Public Sans" w:hAnsi="Public Sans"/>
          <w:b/>
          <w:color w:val="1F2A30"/>
        </w:rPr>
        <w:t>Internal decks keep your organization's logo on every slide</w:t>
      </w:r>
      <w:r>
        <w:rPr>
          <w:rFonts w:ascii="Public Sans" w:hAnsi="Public Sans"/>
          <w:color w:val="1F2A30"/>
        </w:rPr>
        <w:t xml:space="preserve"> — a small corner mark, white on dark slides, dark on light, marking provenance for anyone who forwards the file.</w:t>
      </w:r>
    </w:p>
    <w:p>
      <w:pPr>
        <w:pStyle w:val="ListBullet"/>
        <w:spacing w:after="40"/>
      </w:pPr>
      <w:r>
        <w:rPr>
          <w:rFonts w:ascii="Public Sans" w:hAnsi="Public Sans"/>
          <w:color w:val="1F2A30"/>
        </w:rPr>
        <w:t>Theme: the muted navy palette in Public Sans — white and Mist content slides, Navy #002436 anchors, a single Steel #00537E accent, no bright blue. A team can swap in its own brand palette if it keeps the same discipline.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2436"/>
        </w:rPr>
        <w:t>Before release</w:t>
      </w:r>
    </w:p>
    <w:p>
      <w:pPr>
        <w:spacing w:before="60" w:after="100"/>
      </w:pPr>
      <w:r>
        <w:rPr>
          <w:rFonts w:ascii="Public Sans" w:hAnsi="Public Sans"/>
          <w:color w:val="1F2A30"/>
        </w:rPr>
        <w:t>Gates, then the release sign-off (§11): read every slide, make your own edits, and re-run the synthesis check if an edit moves a quote, count, or attribution. After release, offer participants the impact message.</w:t>
      </w:r>
    </w:p>
    <w:p>
      <w:pPr>
        <w:spacing w:before="60" w:after="100"/>
      </w:pPr>
      <w:r>
        <w:rPr>
          <w:rFonts w:ascii="Public Sans" w:hAnsi="Public Sans"/>
          <w:i/>
          <w:color w:val="1F2A30"/>
        </w:rPr>
        <w:t>Part of the Dr. Morgan UX research suite. Manual alternative to `skills/research-readout-deck`; §4.4 applies either way.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Public Sans" w:hAnsi="Public Sans"/>
        <w:i/>
        <w:color w:val="5C6670"/>
        <w:sz w:val="18"/>
      </w:rPr>
      <w:t>Dr. Morgan UX research suite · template</w:t>
    </w:r>
    <w:r>
      <w:tab/>
    </w:r>
    <w:r>
      <w:rPr>
        <w:rFonts w:ascii="Public Sans" w:hAnsi="Public Sans"/>
        <w:color w:val="5C6670"/>
        <w:sz w:val="18"/>
      </w:rPr>
      <w:t xml:space="preserve">Page </w:t>
    </w:r>
    <w:r>
      <w:rPr>
        <w:rFonts w:ascii="Public Sans" w:hAnsi="Public Sans"/>
        <w:color w:val="5C667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4" w:color="002436"/>
      </w:pBdr>
    </w:pPr>
    <w:r>
      <w:rPr>
        <w:rFonts w:ascii="Public Sans" w:hAnsi="Public Sans"/>
        <w:b/>
        <w:color w:val="002436"/>
        <w:sz w:val="18"/>
      </w:rPr>
      <w:t>UX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Public Sans" w:hAnsi="Public Sans"/>
      <w:color w:val="1F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