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Public Sans" w:hAnsi="Public Sans"/>
          <w:b/>
          <w:color w:val="002436"/>
          <w:sz w:val="56"/>
        </w:rPr>
        <w:t>Participant impact message</w:t>
      </w:r>
    </w:p>
    <w:p>
      <w:pPr>
        <w:spacing w:after="120"/>
        <w:pBdr>
          <w:bottom w:val="single" w:sz="8" w:space="6" w:color="002436"/>
        </w:pBdr>
      </w:pPr>
      <w:r>
        <w:rPr>
          <w:rFonts w:ascii="Public Sans" w:hAnsi="Public Sans"/>
          <w:b/>
          <w:color w:val="00537E"/>
          <w:sz w:val="32"/>
        </w:rPr>
        <w:t>Template</w:t>
      </w:r>
    </w:p>
    <w:p>
      <w:pPr>
        <w:spacing w:before="60" w:after="100"/>
      </w:pPr>
      <w:r>
        <w:rPr>
          <w:rFonts w:ascii="Public Sans" w:hAnsi="Public Sans"/>
          <w:color w:val="1F2A30"/>
        </w:rPr>
        <w:t xml:space="preserve">The email a participant actually wants after giving feedback: short, specific, and honest about what happened to what they said. The spine is "here is what you taught us," not "here is what we changed." Most of the time no product decision has been made yet, and that is normal, not a gap to paper over. §4.9 of </w:t>
      </w:r>
      <w:r>
        <w:rPr>
          <w:rFonts w:ascii="Roboto Mono" w:hAnsi="Roboto Mono"/>
          <w:color w:val="1F2A30"/>
        </w:rPr>
        <w:t>EVALUATION-LOOP.md</w:t>
      </w:r>
      <w:r>
        <w:rPr>
          <w:rFonts w:ascii="Public Sans" w:hAnsi="Public Sans"/>
          <w:color w:val="1F2A30"/>
        </w:rPr>
        <w:t xml:space="preserve"> is the Definition of Done; </w:t>
      </w:r>
      <w:r>
        <w:rPr>
          <w:rFonts w:ascii="Roboto Mono" w:hAnsi="Roboto Mono"/>
          <w:color w:val="1F2A30"/>
        </w:rPr>
        <w:t>skills/participant-impact-summary</w:t>
      </w:r>
      <w:r>
        <w:rPr>
          <w:rFonts w:ascii="Public Sans" w:hAnsi="Public Sans"/>
          <w:color w:val="1F2A30"/>
        </w:rPr>
        <w:t xml:space="preserve"> carries the full rules.</w:t>
      </w:r>
    </w:p>
    <w:p>
      <w:pPr>
        <w:spacing w:before="60" w:after="100"/>
      </w:pPr>
      <w:r>
        <w:rPr>
          <w:rFonts w:ascii="Public Sans" w:hAnsi="Public Sans"/>
          <w:b/>
          <w:color w:val="1F2A30"/>
        </w:rPr>
        <w:t>Target 200–350 words.</w:t>
      </w:r>
      <w:r>
        <w:rPr>
          <w:rFonts w:ascii="Public Sans" w:hAnsi="Public Sans"/>
          <w:color w:val="1F2A30"/>
        </w:rPr>
        <w:t xml:space="preserve"> The recipient gives this one read on a phone.</w:t>
      </w:r>
    </w:p>
    <w:p>
      <w:pPr>
        <w:pStyle w:val="Heading1"/>
        <w:keepNext/>
        <w:spacing w:before="280" w:after="120"/>
      </w:pPr>
      <w:r>
        <w:rPr>
          <w:rFonts w:ascii="Public Sans" w:hAnsi="Public Sans"/>
          <w:color w:val="002436"/>
        </w:rPr>
        <w:t>The two tiers</w:t>
      </w:r>
    </w:p>
    <w:p>
      <w:pPr>
        <w:spacing w:before="60" w:after="100"/>
      </w:pPr>
      <w:r>
        <w:rPr>
          <w:rFonts w:ascii="Public Sans" w:hAnsi="Public Sans"/>
          <w:color w:val="1F2A30"/>
        </w:rPr>
        <w:t>The destination is set by who the recipient is, never chosen:</w:t>
      </w:r>
    </w:p>
    <w:tbl>
      <w:tblPr>
        <w:tblStyle w:val="LightGrid-Accent1"/>
        <w:tblW w:type="auto" w:w="0"/>
        <w:tblLook w:firstColumn="1" w:firstRow="1" w:lastColumn="0" w:lastRow="0" w:noHBand="0" w:noVBand="1" w:val="04A0"/>
        <w:tblBorders>
          <w:top w:val="single" w:sz="4" w:space="0" w:color="D4D8D9"/>
          <w:left w:val="single" w:sz="4" w:space="0" w:color="D4D8D9"/>
          <w:bottom w:val="single" w:sz="4" w:space="0" w:color="D4D8D9"/>
          <w:right w:val="single" w:sz="4" w:space="0" w:color="D4D8D9"/>
          <w:insideH w:val="single" w:sz="4" w:space="0" w:color="D4D8D9"/>
          <w:insideV w:val="single" w:sz="4" w:space="0" w:color="D4D8D9"/>
        </w:tblBorders>
      </w:tblPr>
      <w:tblGrid>
        <w:gridCol w:w="4680"/>
        <w:gridCol w:w="4680"/>
      </w:tblGrid>
      <w:tr>
        <w:trPr>
          <w:tblHeader/>
        </w:trPr>
        <w:tc>
          <w:tcPr>
            <w:tcW w:type="dxa" w:w="4680"/>
            <w:shd w:fill="E3E8EA"/>
          </w:tcPr>
          <w:p>
            <w:pPr>
              <w:spacing w:before="30" w:after="30"/>
            </w:pPr>
            <w:r>
              <w:rPr>
                <w:rFonts w:ascii="Public Sans" w:hAnsi="Public Sans"/>
                <w:b/>
                <w:color w:val="002436"/>
                <w:sz w:val="21"/>
              </w:rPr>
              <w:t>Recipient (participant_type)</w:t>
            </w:r>
          </w:p>
        </w:tc>
        <w:tc>
          <w:tcPr>
            <w:tcW w:type="dxa" w:w="4680"/>
            <w:shd w:fill="E3E8EA"/>
          </w:tcPr>
          <w:p>
            <w:pPr>
              <w:spacing w:before="30" w:after="30"/>
            </w:pPr>
            <w:r>
              <w:rPr>
                <w:rFonts w:ascii="Public Sans" w:hAnsi="Public Sans"/>
                <w:b/>
                <w:color w:val="002436"/>
                <w:sz w:val="21"/>
              </w:rPr>
              <w:t>Tier</w:t>
            </w:r>
          </w:p>
        </w:tc>
      </w:tr>
      <w:tr>
        <w:tc>
          <w:tcPr>
            <w:tcW w:type="dxa" w:w="4680"/>
          </w:tcPr>
          <w:p>
            <w:pPr>
              <w:spacing w:before="30" w:after="30"/>
            </w:pPr>
            <w:r>
              <w:rPr>
                <w:rFonts w:ascii="Public Sans" w:hAnsi="Public Sans"/>
                <w:b w:val="0"/>
                <w:sz w:val="21"/>
              </w:rPr>
              <w:t>customer-direct, sme-external</w:t>
            </w:r>
          </w:p>
        </w:tc>
        <w:tc>
          <w:tcPr>
            <w:tcW w:type="dxa" w:w="4680"/>
          </w:tcPr>
          <w:p>
            <w:pPr>
              <w:spacing w:before="30" w:after="30"/>
            </w:pPr>
            <w:r>
              <w:rPr>
                <w:rFonts w:ascii="Public Sans" w:hAnsi="Public Sans"/>
                <w:b w:val="0"/>
                <w:sz w:val="21"/>
              </w:rPr>
              <w:t>external (the highest bar in the suite)</w:t>
            </w:r>
          </w:p>
        </w:tc>
      </w:tr>
      <w:tr>
        <w:tc>
          <w:tcPr>
            <w:tcW w:type="dxa" w:w="4680"/>
          </w:tcPr>
          <w:p>
            <w:pPr>
              <w:spacing w:before="30" w:after="30"/>
            </w:pPr>
            <w:r>
              <w:rPr>
                <w:rFonts w:ascii="Public Sans" w:hAnsi="Public Sans"/>
                <w:b w:val="0"/>
                <w:sz w:val="21"/>
              </w:rPr>
              <w:t>internal-direct, internal-proxy</w:t>
            </w:r>
          </w:p>
        </w:tc>
        <w:tc>
          <w:tcPr>
            <w:tcW w:type="dxa" w:w="4680"/>
          </w:tcPr>
          <w:p>
            <w:pPr>
              <w:spacing w:before="30" w:after="30"/>
            </w:pPr>
            <w:r>
              <w:rPr>
                <w:rFonts w:ascii="Public Sans" w:hAnsi="Public Sans"/>
                <w:b w:val="0"/>
                <w:sz w:val="21"/>
              </w:rPr>
              <w:t>internal-org</w:t>
            </w:r>
          </w:p>
        </w:tc>
      </w:tr>
    </w:tbl>
    <w:p>
      <w:pPr>
        <w:spacing w:before="60" w:after="100"/>
      </w:pPr>
      <w:r>
        <w:rPr>
          <w:rFonts w:ascii="Public Sans" w:hAnsi="Public Sans"/>
          <w:color w:val="1F2A30"/>
        </w:rPr>
        <w:t xml:space="preserve">A study with both kinds of participant gets </w:t>
      </w:r>
      <w:r>
        <w:rPr>
          <w:rFonts w:ascii="Public Sans" w:hAnsi="Public Sans"/>
          <w:b/>
          <w:color w:val="1F2A30"/>
        </w:rPr>
        <w:t>two drafts</w:t>
      </w:r>
      <w:r>
        <w:rPr>
          <w:rFonts w:ascii="Public Sans" w:hAnsi="Public Sans"/>
          <w:color w:val="1F2A30"/>
        </w:rPr>
        <w:t>, one per tier. Never one email serving both. The tracker's "impact message" columns record which draft went to whom.</w:t>
      </w:r>
    </w:p>
    <w:p>
      <w:pPr>
        <w:pStyle w:val="Heading1"/>
        <w:keepNext/>
        <w:spacing w:before="280" w:after="120"/>
      </w:pPr>
      <w:r>
        <w:rPr>
          <w:rFonts w:ascii="Public Sans" w:hAnsi="Public Sans"/>
          <w:color w:val="002436"/>
        </w:rPr>
        <w:t>Three kinds of claim, three different bars</w:t>
      </w:r>
    </w:p>
    <w:p>
      <w:pPr>
        <w:spacing w:before="60" w:after="100"/>
        <w:ind w:left="360"/>
        <w:numPr>
          <w:ilvl w:val="0"/>
          <w:numId w:val="10"/>
        </w:numPr>
      </w:pPr>
      <w:r>
        <w:rPr>
          <w:rFonts w:ascii="Public Sans" w:hAnsi="Public Sans"/>
          <w:b/>
          <w:color w:val="1F2A30"/>
        </w:rPr>
        <w:t>"What we heard"</w:t>
      </w:r>
      <w:r>
        <w:rPr>
          <w:rFonts w:ascii="Public Sans" w:hAnsi="Public Sans"/>
          <w:color w:val="1F2A30"/>
        </w:rPr>
        <w:t xml:space="preserve"> comes from passed findings records, aggregated. If it is not in a record, it is not in the email.</w:t>
      </w:r>
    </w:p>
    <w:p>
      <w:pPr>
        <w:spacing w:before="60" w:after="100"/>
        <w:ind w:left="360"/>
        <w:numPr>
          <w:ilvl w:val="0"/>
          <w:numId w:val="10"/>
        </w:numPr>
      </w:pPr>
      <w:r>
        <w:rPr>
          <w:rFonts w:ascii="Public Sans" w:hAnsi="Public Sans"/>
          <w:b/>
          <w:color w:val="1F2A30"/>
        </w:rPr>
        <w:t>"How it's informing us"</w:t>
      </w:r>
      <w:r>
        <w:rPr>
          <w:rFonts w:ascii="Public Sans" w:hAnsi="Public Sans"/>
          <w:color w:val="1F2A30"/>
        </w:rPr>
        <w:t xml:space="preserve"> is always available, in one of two honest forms. What the research surfaced or recommended is attributed to the research ("this pushed our research to recommend rethinking the setup order"). "We're considering X" is a claim about the team and needs the team behind it: a PM's confirmation or a planning item, with a name and date. Without that, write what the research recommended instead.</w:t>
      </w:r>
    </w:p>
    <w:p>
      <w:pPr>
        <w:spacing w:before="60" w:after="100"/>
        <w:ind w:left="360"/>
        <w:numPr>
          <w:ilvl w:val="0"/>
          <w:numId w:val="10"/>
        </w:numPr>
      </w:pPr>
      <w:r>
        <w:rPr>
          <w:rFonts w:ascii="Public Sans" w:hAnsi="Public Sans"/>
          <w:b/>
          <w:color w:val="1F2A30"/>
        </w:rPr>
        <w:t>"What changed in the product"</w:t>
      </w:r>
      <w:r>
        <w:rPr>
          <w:rFonts w:ascii="Public Sans" w:hAnsi="Public Sans"/>
          <w:color w:val="1F2A30"/>
        </w:rPr>
        <w:t xml:space="preserve"> comes from sourced impact items (change, status, source, date, finding IDs). </w:t>
      </w:r>
      <w:r>
        <w:rPr>
          <w:rFonts w:ascii="Public Sans" w:hAnsi="Public Sans"/>
          <w:b/>
          <w:color w:val="1F2A30"/>
        </w:rPr>
        <w:t>Zero impact items is the normal case</w:t>
      </w:r>
      <w:r>
        <w:rPr>
          <w:rFonts w:ascii="Public Sans" w:hAnsi="Public Sans"/>
          <w:color w:val="1F2A30"/>
        </w:rPr>
        <w:t xml:space="preserve"> shortly after a study, and an email with none is complete. No source, no status, no email line. Never upgrade a status; "planned" does not become "coming soon."</w:t>
      </w:r>
    </w:p>
    <w:p>
      <w:pPr>
        <w:pStyle w:val="Heading1"/>
        <w:keepNext/>
        <w:spacing w:before="280" w:after="120"/>
      </w:pPr>
      <w:r>
        <w:rPr>
          <w:rFonts w:ascii="Public Sans" w:hAnsi="Public Sans"/>
          <w:color w:val="002436"/>
        </w:rPr>
        <w:t>Privacy: the recipient learns nothing about anyone else</w:t>
      </w:r>
    </w:p>
    <w:p>
      <w:pPr>
        <w:pStyle w:val="ListBullet"/>
        <w:spacing w:after="40"/>
      </w:pPr>
      <w:r>
        <w:rPr>
          <w:rFonts w:ascii="Public Sans" w:hAnsi="Public Sans"/>
          <w:color w:val="1F2A30"/>
        </w:rPr>
        <w:t>No other participant is identifiable at either tier: no names, no companies, no narrowing role-plus-context, and no quotes from anyone but the recipient.</w:t>
      </w:r>
    </w:p>
    <w:p>
      <w:pPr>
        <w:pStyle w:val="ListBullet"/>
        <w:spacing w:after="40"/>
      </w:pPr>
      <w:r>
        <w:rPr>
          <w:rFonts w:ascii="Public Sans" w:hAnsi="Public Sans"/>
          <w:color w:val="1F2A30"/>
        </w:rPr>
        <w:t>Aggregate the counts ("feedback from operators at eight organizations," not "5 of 8").</w:t>
      </w:r>
    </w:p>
    <w:p>
      <w:pPr>
        <w:pStyle w:val="ListBullet"/>
        <w:spacing w:after="40"/>
      </w:pPr>
      <w:r>
        <w:rPr>
          <w:rFonts w:ascii="Public Sans" w:hAnsi="Public Sans"/>
          <w:color w:val="1F2A30"/>
        </w:rPr>
        <w:t>Send individually; never a visible CC list of participants.</w:t>
      </w:r>
    </w:p>
    <w:p>
      <w:pPr>
        <w:pStyle w:val="ListBullet"/>
        <w:spacing w:after="40"/>
      </w:pPr>
      <w:r>
        <w:rPr>
          <w:rFonts w:ascii="Public Sans" w:hAnsi="Public Sans"/>
          <w:color w:val="1F2A30"/>
        </w:rPr>
        <w:t>Only email people whose consent covers recontact (check the tracker).</w:t>
      </w:r>
    </w:p>
    <w:p>
      <w:pPr>
        <w:pStyle w:val="ListBullet"/>
        <w:spacing w:after="40"/>
      </w:pPr>
      <w:r>
        <w:rPr>
          <w:rFonts w:ascii="Public Sans" w:hAnsi="Public Sans"/>
          <w:color w:val="1F2A30"/>
        </w:rPr>
        <w:t>Nothing internal travels to an external recipient: no links, code names, or ticket numbers.</w:t>
      </w:r>
    </w:p>
    <w:p>
      <w:pPr>
        <w:pStyle w:val="Heading1"/>
        <w:keepNext/>
        <w:spacing w:before="280" w:after="120"/>
      </w:pPr>
      <w:r>
        <w:rPr>
          <w:rFonts w:ascii="Public Sans" w:hAnsi="Public Sans"/>
          <w:color w:val="002436"/>
        </w:rPr>
        <w:t>Structure</w:t>
      </w:r>
    </w:p>
    <w:p>
      <w:pPr>
        <w:spacing w:before="60" w:after="100"/>
        <w:ind w:left="360"/>
        <w:numPr>
          <w:ilvl w:val="0"/>
          <w:numId w:val="11"/>
        </w:numPr>
      </w:pPr>
      <w:r>
        <w:rPr>
          <w:rFonts w:ascii="Public Sans" w:hAnsi="Public Sans"/>
          <w:b/>
          <w:color w:val="1F2A30"/>
        </w:rPr>
        <w:t>Subject</w:t>
      </w:r>
      <w:r>
        <w:rPr>
          <w:rFonts w:ascii="Public Sans" w:hAnsi="Public Sans"/>
          <w:color w:val="1F2A30"/>
        </w:rPr>
        <w:t xml:space="preserve"> — plain and honest: "What we learned from your feedback on [product/topic]." Not "what we did" unless shipped changes anchor it.</w:t>
      </w:r>
    </w:p>
    <w:p>
      <w:pPr>
        <w:spacing w:before="60" w:after="100"/>
        <w:ind w:left="360"/>
        <w:numPr>
          <w:ilvl w:val="0"/>
          <w:numId w:val="11"/>
        </w:numPr>
      </w:pPr>
      <w:r>
        <w:rPr>
          <w:rFonts w:ascii="Public Sans" w:hAnsi="Public Sans"/>
          <w:b/>
          <w:color w:val="1F2A30"/>
        </w:rPr>
        <w:t>Thanks, anchored</w:t>
      </w:r>
      <w:r>
        <w:rPr>
          <w:rFonts w:ascii="Public Sans" w:hAnsi="Public Sans"/>
          <w:color w:val="1F2A30"/>
        </w:rPr>
        <w:t xml:space="preserve"> (1–2 sentences) — which study, roughly when, what topic.</w:t>
      </w:r>
    </w:p>
    <w:p>
      <w:pPr>
        <w:spacing w:before="60" w:after="100"/>
        <w:ind w:left="360"/>
        <w:numPr>
          <w:ilvl w:val="0"/>
          <w:numId w:val="11"/>
        </w:numPr>
      </w:pPr>
      <w:r>
        <w:rPr>
          <w:rFonts w:ascii="Public Sans" w:hAnsi="Public Sans"/>
          <w:b/>
          <w:color w:val="1F2A30"/>
        </w:rPr>
        <w:t>What we heard</w:t>
      </w:r>
      <w:r>
        <w:rPr>
          <w:rFonts w:ascii="Public Sans" w:hAnsi="Public Sans"/>
          <w:color w:val="1F2A30"/>
        </w:rPr>
        <w:t xml:space="preserve"> (2–4 short lines) — aggregated themes in the recipient's language; finding IDs stay in your working notes.</w:t>
      </w:r>
    </w:p>
    <w:p>
      <w:pPr>
        <w:spacing w:before="60" w:after="100"/>
        <w:ind w:left="360"/>
        <w:numPr>
          <w:ilvl w:val="0"/>
          <w:numId w:val="11"/>
        </w:numPr>
      </w:pPr>
      <w:r>
        <w:rPr>
          <w:rFonts w:ascii="Public Sans" w:hAnsi="Public Sans"/>
          <w:b/>
          <w:color w:val="1F2A30"/>
        </w:rPr>
        <w:t>How it's informing us</w:t>
      </w:r>
      <w:r>
        <w:rPr>
          <w:rFonts w:ascii="Public Sans" w:hAnsi="Public Sans"/>
          <w:color w:val="1F2A30"/>
        </w:rPr>
        <w:t xml:space="preserve"> (the core, always present) — each line in its honest form. When nothing is decided yet, say so plainly: "no decisions yet; the findings are in front of the team now."</w:t>
      </w:r>
    </w:p>
    <w:p>
      <w:pPr>
        <w:spacing w:before="60" w:after="100"/>
        <w:ind w:left="360"/>
        <w:numPr>
          <w:ilvl w:val="0"/>
          <w:numId w:val="11"/>
        </w:numPr>
      </w:pPr>
      <w:r>
        <w:rPr>
          <w:rFonts w:ascii="Public Sans" w:hAnsi="Public Sans"/>
          <w:b/>
          <w:color w:val="1F2A30"/>
        </w:rPr>
        <w:t>What's changed in the product</w:t>
      </w:r>
      <w:r>
        <w:rPr>
          <w:rFonts w:ascii="Public Sans" w:hAnsi="Public Sans"/>
          <w:color w:val="1F2A30"/>
        </w:rPr>
        <w:t xml:space="preserve"> (only when sourced items exist; omit the section entirely otherwise) — shipped first, then in-progress, then planned, each labeled in plain words.</w:t>
      </w:r>
    </w:p>
    <w:p>
      <w:pPr>
        <w:spacing w:before="60" w:after="100"/>
        <w:ind w:left="360"/>
        <w:numPr>
          <w:ilvl w:val="0"/>
          <w:numId w:val="11"/>
        </w:numPr>
      </w:pPr>
      <w:r>
        <w:rPr>
          <w:rFonts w:ascii="Public Sans" w:hAnsi="Public Sans"/>
          <w:b/>
          <w:color w:val="1F2A30"/>
        </w:rPr>
        <w:t>What we're still weighing</w:t>
      </w:r>
      <w:r>
        <w:rPr>
          <w:rFonts w:ascii="Public Sans" w:hAnsi="Public Sans"/>
          <w:color w:val="1F2A30"/>
        </w:rPr>
        <w:t xml:space="preserve"> (optional, 1–2 lines) — one line per unmoved theme, no defensiveness.</w:t>
      </w:r>
    </w:p>
    <w:p>
      <w:pPr>
        <w:spacing w:before="60" w:after="100"/>
        <w:ind w:left="360"/>
        <w:numPr>
          <w:ilvl w:val="0"/>
          <w:numId w:val="11"/>
        </w:numPr>
      </w:pPr>
      <w:r>
        <w:rPr>
          <w:rFonts w:ascii="Public Sans" w:hAnsi="Public Sans"/>
          <w:b/>
          <w:color w:val="1F2A30"/>
        </w:rPr>
        <w:t>The door stays open</w:t>
      </w:r>
      <w:r>
        <w:rPr>
          <w:rFonts w:ascii="Public Sans" w:hAnsi="Public Sans"/>
          <w:color w:val="1F2A30"/>
        </w:rPr>
        <w:t xml:space="preserve"> (1–2 sentences).</w:t>
      </w:r>
    </w:p>
    <w:p>
      <w:pPr>
        <w:spacing w:before="60" w:after="100"/>
        <w:ind w:left="360"/>
        <w:numPr>
          <w:ilvl w:val="0"/>
          <w:numId w:val="11"/>
        </w:numPr>
      </w:pPr>
      <w:r>
        <w:rPr>
          <w:rFonts w:ascii="Public Sans" w:hAnsi="Public Sans"/>
          <w:b/>
          <w:color w:val="1F2A30"/>
        </w:rPr>
        <w:t>Sign-off</w:t>
      </w:r>
      <w:r>
        <w:rPr>
          <w:rFonts w:ascii="Public Sans" w:hAnsi="Public Sans"/>
          <w:color w:val="1F2A30"/>
        </w:rPr>
        <w:t xml:space="preserve"> — a named person, their role, their real address. Never from Dr. Morgan, and never sent by anyone but that person.</w:t>
      </w:r>
    </w:p>
    <w:p>
      <w:pPr>
        <w:pStyle w:val="Heading1"/>
        <w:keepNext/>
        <w:spacing w:before="280" w:after="120"/>
      </w:pPr>
      <w:r>
        <w:rPr>
          <w:rFonts w:ascii="Public Sans" w:hAnsi="Public Sans"/>
          <w:color w:val="002436"/>
        </w:rPr>
        <w:t>Before it sends</w:t>
      </w:r>
    </w:p>
    <w:p>
      <w:pPr>
        <w:spacing w:before="60" w:after="100"/>
      </w:pPr>
      <w:r>
        <w:rPr>
          <w:rFonts w:ascii="Public Sans" w:hAnsi="Public Sans"/>
          <w:color w:val="1F2A30"/>
        </w:rPr>
        <w:t>Read it as the recipient six months from now, checking it against the product: no sentence they could reasonably have heard as a commitment the team never made. Read it as their colleague who was not in the study: no other participant inferable. The product owner confirms every impact item and every "considering" line. Then the gates, then the sign-off (§11), then a person sends it from their own address.</w:t>
      </w:r>
    </w:p>
    <w:p>
      <w:pPr>
        <w:spacing w:before="60" w:after="100"/>
      </w:pPr>
      <w:r>
        <w:rPr>
          <w:rFonts w:ascii="Public Sans" w:hAnsi="Public Sans"/>
          <w:i/>
          <w:color w:val="1F2A30"/>
        </w:rPr>
        <w:t>Part of the Dr. Morgan UX research suite. Manual alternative to `skills/participant-impact-summary`; §4.9 applies either way.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Public Sans" w:hAnsi="Public Sans"/>
        <w:i/>
        <w:color w:val="5C6670"/>
        <w:sz w:val="18"/>
      </w:rPr>
      <w:t>Dr. Morgan UX research suite · template</w:t>
    </w:r>
    <w:r>
      <w:tab/>
    </w:r>
    <w:r>
      <w:rPr>
        <w:rFonts w:ascii="Public Sans" w:hAnsi="Public Sans"/>
        <w:color w:val="5C6670"/>
        <w:sz w:val="18"/>
      </w:rPr>
      <w:t xml:space="preserve">Page </w:t>
    </w:r>
    <w:r>
      <w:rPr>
        <w:rFonts w:ascii="Public Sans" w:hAnsi="Public Sans"/>
        <w:color w:val="5C667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4" w:space="4" w:color="002436"/>
      </w:pBdr>
    </w:pPr>
    <w:r>
      <w:rPr>
        <w:rFonts w:ascii="Public Sans" w:hAnsi="Public Sans"/>
        <w:b/>
        <w:color w:val="002436"/>
        <w:sz w:val="18"/>
      </w:rPr>
      <w:t>UX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ind w:left="720" w:hanging="360"/>
      </w:pPr>
    </w:lvl>
  </w:abstractNum>
  <w:abstractNum w:abstractNumId="10">
    <w:multiLevelType w:val="singleLevel"/>
    <w:lvl w:ilvl="0">
      <w:start w:val="1"/>
      <w:numFmt w:val="decimal"/>
      <w:lvlText w:val="%1."/>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Public Sans" w:hAnsi="Public Sans"/>
      <w:color w:val="1F2A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