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Public Sans" w:hAnsi="Public Sans"/>
          <w:b/>
          <w:color w:val="002436"/>
          <w:sz w:val="56"/>
        </w:rPr>
        <w:t>Participant summary card</w:t>
      </w:r>
    </w:p>
    <w:p>
      <w:pPr>
        <w:spacing w:after="120"/>
        <w:pBdr>
          <w:bottom w:val="single" w:sz="8" w:space="6" w:color="002436"/>
        </w:pBdr>
      </w:pPr>
      <w:r>
        <w:rPr>
          <w:rFonts w:ascii="Public Sans" w:hAnsi="Public Sans"/>
          <w:b/>
          <w:color w:val="00537E"/>
          <w:sz w:val="32"/>
        </w:rPr>
        <w:t>Template</w:t>
      </w:r>
    </w:p>
    <w:p>
      <w:pPr>
        <w:spacing w:before="60" w:after="100"/>
      </w:pPr>
      <w:r>
        <w:rPr>
          <w:rFonts w:ascii="Public Sans" w:hAnsi="Public Sans"/>
          <w:color w:val="1F2A30"/>
        </w:rPr>
        <w:t>The one-page artifact that goes back to the people who gave you their time. Template 10 is the email; this is what the email attaches or embeds. Most studies send both, and a study that does runs both gates.</w:t>
      </w:r>
    </w:p>
    <w:p>
      <w:pPr>
        <w:spacing w:before="60" w:after="100"/>
      </w:pPr>
      <w:r>
        <w:rPr>
          <w:rFonts w:ascii="Roboto Mono" w:hAnsi="Roboto Mono"/>
          <w:color w:val="1F2A30"/>
        </w:rPr>
        <w:t>EVALUATION-LOOP.md</w:t>
      </w:r>
      <w:r>
        <w:rPr>
          <w:rFonts w:ascii="Public Sans" w:hAnsi="Public Sans"/>
          <w:color w:val="1F2A30"/>
        </w:rPr>
        <w:t xml:space="preserve"> §4.10 is the Definition of Done, and </w:t>
      </w:r>
      <w:r>
        <w:rPr>
          <w:rFonts w:ascii="Public Sans" w:hAnsi="Public Sans"/>
          <w:b/>
          <w:color w:val="1F2A30"/>
        </w:rPr>
        <w:t>§4.9 items 1-6 apply to this card in full</w:t>
      </w:r>
      <w:r>
        <w:rPr>
          <w:rFonts w:ascii="Public Sans" w:hAnsi="Public Sans"/>
          <w:color w:val="1F2A30"/>
        </w:rPr>
        <w:t xml:space="preserve"> — same recipient tiering, same aggregation rule, same ban on implying decisions that have not been made. Read template 10 first; this template covers only what a designed document adds. </w:t>
      </w:r>
      <w:r>
        <w:rPr>
          <w:rFonts w:ascii="Roboto Mono" w:hAnsi="Roboto Mono"/>
          <w:color w:val="1F2A30"/>
        </w:rPr>
        <w:t>skills/research-participant-summary-card</w:t>
      </w:r>
      <w:r>
        <w:rPr>
          <w:rFonts w:ascii="Public Sans" w:hAnsi="Public Sans"/>
          <w:color w:val="1F2A30"/>
        </w:rPr>
        <w:t xml:space="preserve"> carries the full rules and the reference HTML.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Why a card needs its own bar</w:t>
      </w:r>
    </w:p>
    <w:p>
      <w:pPr>
        <w:spacing w:before="60" w:after="100"/>
      </w:pPr>
      <w:r>
        <w:rPr>
          <w:rFonts w:ascii="Public Sans" w:hAnsi="Public Sans"/>
          <w:color w:val="1F2A30"/>
        </w:rPr>
        <w:t>An email reads as one person writing to another. A card carries your company's logo and the authority of a designed document, and a requirement laid out in a numbered list under that logo reads as a roadmap rather than as something a customer said.</w:t>
      </w:r>
    </w:p>
    <w:p>
      <w:pPr>
        <w:spacing w:before="60" w:after="100"/>
      </w:pPr>
      <w:r>
        <w:rPr>
          <w:rFonts w:ascii="Public Sans" w:hAnsi="Public Sans"/>
          <w:color w:val="1F2A30"/>
        </w:rPr>
        <w:t>That single difference generates every rule below.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The framing test</w:t>
      </w:r>
    </w:p>
    <w:p>
      <w:pPr>
        <w:spacing w:before="60" w:after="100"/>
      </w:pPr>
      <w:r>
        <w:rPr>
          <w:rFonts w:ascii="Public Sans" w:hAnsi="Public Sans"/>
          <w:color w:val="1F2A30"/>
        </w:rPr>
        <w:t>Before drafting, settle three things. Getting these wrong is not a style problem; it is the difference between an artifact that builds trust and one your PM has to walk back.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Whose voice?</w:t>
      </w:r>
      <w:r>
        <w:rPr>
          <w:rFonts w:ascii="Public Sans" w:hAnsi="Public Sans"/>
          <w:color w:val="1F2A30"/>
        </w:rPr>
        <w:t xml:space="preserve"> Every substantive line is the participant's, marked as theirs: </w:t>
      </w:r>
      <w:r>
        <w:rPr>
          <w:rFonts w:ascii="Public Sans" w:hAnsi="Public Sans"/>
          <w:i/>
          <w:color w:val="1F2A30"/>
        </w:rPr>
        <w:t>"You described…"</w:t>
      </w:r>
      <w:r>
        <w:rPr>
          <w:rFonts w:ascii="Public Sans" w:hAnsi="Public Sans"/>
          <w:color w:val="1F2A30"/>
        </w:rPr>
        <w:t xml:space="preserve">, </w:t>
      </w:r>
      <w:r>
        <w:rPr>
          <w:rFonts w:ascii="Public Sans" w:hAnsi="Public Sans"/>
          <w:i/>
          <w:color w:val="1F2A30"/>
        </w:rPr>
        <w:t>"You asked for…"</w:t>
      </w:r>
      <w:r>
        <w:rPr>
          <w:rFonts w:ascii="Public Sans" w:hAnsi="Public Sans"/>
          <w:color w:val="1F2A30"/>
        </w:rPr>
        <w:t xml:space="preserve">, </w:t>
      </w:r>
      <w:r>
        <w:rPr>
          <w:rFonts w:ascii="Public Sans" w:hAnsi="Public Sans"/>
          <w:i/>
          <w:color w:val="1F2A30"/>
        </w:rPr>
        <w:t>"You told us…"</w:t>
      </w:r>
      <w:r>
        <w:rPr>
          <w:rFonts w:ascii="Public Sans" w:hAnsi="Public Sans"/>
          <w:color w:val="1F2A30"/>
        </w:rPr>
        <w:t xml:space="preserve"> A requirement without visible attribution is a commitment, however carefully the rest of the sentence is hedged.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Conditions or blockers?</w:t>
      </w:r>
      <w:r>
        <w:rPr>
          <w:rFonts w:ascii="Public Sans" w:hAnsi="Public Sans"/>
          <w:color w:val="1F2A30"/>
        </w:rPr>
        <w:t xml:space="preserve"> The same evidence reads as "here is what makes this work for you" or as "here are three unsolved problems with our product." A customer executive who wasn't in the sessions reads the second as a warning. Organize around enablement — it is equally honest and far stronger.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Who is the actor?</w:t>
      </w:r>
      <w:r>
        <w:rPr>
          <w:rFonts w:ascii="Public Sans" w:hAnsi="Public Sans"/>
          <w:color w:val="1F2A30"/>
        </w:rPr>
        <w:t xml:space="preserve"> Prefer "adoption" over "migration." One centers the customer's decision and timeline; the other frames them as the object of something being done to them. Sweep derived forms too. A product team with its own neutral vocabulary follows that instead; the principle governs.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What never appears</w:t>
      </w:r>
    </w:p>
    <w:p>
      <w:pPr>
        <w:spacing w:before="60" w:after="100"/>
      </w:pPr>
      <w:r>
        <w:rPr>
          <w:rFonts w:ascii="Public Sans" w:hAnsi="Public Sans"/>
          <w:color w:val="1F2A30"/>
        </w:rPr>
        <w:t>Stricter than any internal artifact, and stricter than you will expect: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D4D8D9"/>
          <w:left w:val="single" w:sz="4" w:space="0" w:color="D4D8D9"/>
          <w:bottom w:val="single" w:sz="4" w:space="0" w:color="D4D8D9"/>
          <w:right w:val="single" w:sz="4" w:space="0" w:color="D4D8D9"/>
          <w:insideH w:val="single" w:sz="4" w:space="0" w:color="D4D8D9"/>
          <w:insideV w:val="single" w:sz="4" w:space="0" w:color="D4D8D9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3E8EA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002436"/>
                <w:sz w:val="21"/>
              </w:rPr>
              <w:t>Excluded</w:t>
            </w:r>
          </w:p>
        </w:tc>
        <w:tc>
          <w:tcPr>
            <w:tcW w:type="dxa" w:w="4680"/>
            <w:shd w:fill="E3E8EA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002436"/>
                <w:sz w:val="21"/>
              </w:rPr>
              <w:t>Why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Participant IDs (P1, P2)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Internal scaffolding. To a participant they mean nothing, and they signal that per-person attribution exists — which invites a reader at a multi-participant account to work out who said what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Exact counts ("3 of 4")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At a four-person account this is a puzzle with a solvable answer. Aggregate instead. This inverts the usual rule, deliberately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Verbatim quotes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A distinctive phrasing identifies its speaker to colleagues who were in the room. Paraphrase into collective voice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Company and account names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Including the reader's own. They know who they are; the document still gets forwarded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Role titles that identify one person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"Your Field CTO" names somebody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Retirement, end-of-life, deprecation timing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The highest-risk item here. Writing it down tells a customer's commercial team that retirement is being planned, which can trigger contract renegotiation. Express the need as predictability instead</w:t>
            </w:r>
          </w:p>
        </w:tc>
      </w:tr>
      <w:tr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Licensing, pricing, support windows, contractual terms</w:t>
            </w:r>
          </w:p>
        </w:tc>
        <w:tc>
          <w:tcPr>
            <w:tcW w:type="dxa" w:w="468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Owned by PM, commercial, and legal. Replace with the governance-support need underneath</w:t>
            </w:r>
          </w:p>
        </w:tc>
      </w:tr>
    </w:tbl>
    <w:p>
      <w:pPr>
        <w:spacing w:before="60" w:after="100"/>
      </w:pPr>
      <w:r>
        <w:rPr>
          <w:rFonts w:ascii="Public Sans" w:hAnsi="Public Sans"/>
          <w:color w:val="1F2A30"/>
        </w:rPr>
        <w:t xml:space="preserve">Naming a </w:t>
      </w:r>
      <w:r>
        <w:rPr>
          <w:rFonts w:ascii="Public Sans" w:hAnsi="Public Sans"/>
          <w:b/>
          <w:color w:val="1F2A30"/>
        </w:rPr>
        <w:t>capability</w:t>
      </w:r>
      <w:r>
        <w:rPr>
          <w:rFonts w:ascii="Public Sans" w:hAnsi="Public Sans"/>
          <w:color w:val="1F2A30"/>
        </w:rPr>
        <w:t xml:space="preserve"> the customer asked for is fine. Previewing an implementation is not: </w:t>
      </w:r>
      <w:r>
        <w:rPr>
          <w:rFonts w:ascii="Public Sans" w:hAnsi="Public Sans"/>
          <w:i/>
          <w:color w:val="1F2A30"/>
        </w:rPr>
        <w:t>"a compatibility layer, for example a proxy or wrapper"</w:t>
      </w:r>
      <w:r>
        <w:rPr>
          <w:rFonts w:ascii="Public Sans" w:hAnsi="Public Sans"/>
          <w:color w:val="1F2A30"/>
        </w:rPr>
        <w:t xml:space="preserve"> shows you understood the mechanism without committing to a design.</w:t>
      </w:r>
    </w:p>
    <w:p>
      <w:pPr>
        <w:spacing w:before="60" w:after="100"/>
      </w:pPr>
      <w:r>
        <w:rPr>
          <w:rFonts w:ascii="Public Sans" w:hAnsi="Public Sans"/>
          <w:color w:val="1F2A30"/>
        </w:rPr>
        <w:t>When you cut a restricted topic, tell the researcher what you cut, what replaced it, and who owns the message. Never drop a finding silently.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Structure</w:t>
      </w:r>
    </w:p>
    <w:p>
      <w:pPr>
        <w:spacing w:before="60" w:after="100"/>
      </w:pPr>
      <w:r>
        <w:rPr>
          <w:rFonts w:ascii="Public Sans" w:hAnsi="Public Sans"/>
          <w:color w:val="1F2A30"/>
        </w:rPr>
        <w:t xml:space="preserve">Six zones. Full specification, palette values, and reference HTML: </w:t>
      </w:r>
      <w:r>
        <w:rPr>
          <w:rFonts w:ascii="Roboto Mono" w:hAnsi="Roboto Mono"/>
          <w:color w:val="1F2A30"/>
        </w:rPr>
        <w:t>skills/research-participant-summary-card/references/at-a-glance-card.md</w:t>
      </w:r>
      <w:r>
        <w:rPr>
          <w:rFonts w:ascii="Public Sans" w:hAnsi="Public Sans"/>
          <w:color w:val="1F2A30"/>
        </w:rPr>
        <w:t>.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1  EYEBROW          [Team name]  |  [Product]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2  TITLE            What You Told Us About Adopting [Product]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SUBTITLE         [Study] — what we heard from you, at a glance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Never call it "sanitized" here. That belongs in the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footer as a disclosure; in the title area it makes a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warm document feel legal.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3  THREE STATS      [N] participants with a role descriptor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A qualitative depth marker — never a session duration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The number of conditions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4  HEADLINE         One sentence. The single thing you heard, framed as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enablement. Write this last, after the conditions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are settled.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5  THREE CONDITIONS Each: a condition-for-success title, then a line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opening with "You described / You asked for /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You told us."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Three is the number. Two looks thin; four stops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being scannable at a glance.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6  SECONDARY LIST   Three non-technical needs. Where commercially-owned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topics get replaced by the need underneath them.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FOOTER           Left: thanks + soft impact statement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 Right: anonymization disclosure + Month Year</w:t>
      </w:r>
    </w:p>
    <w:p>
      <w:pPr>
        <w:spacing w:after="40"/>
      </w:pPr>
    </w:p>
    <w:p>
      <w:pPr>
        <w:spacing w:before="60" w:after="100"/>
      </w:pPr>
      <w:r>
        <w:rPr>
          <w:rFonts w:ascii="Public Sans" w:hAnsi="Public Sans"/>
          <w:b/>
          <w:color w:val="1F2A30"/>
        </w:rPr>
        <w:t>The footer is a commitment surface.</w:t>
      </w:r>
      <w:r>
        <w:rPr>
          <w:rFonts w:ascii="Public Sans" w:hAnsi="Public Sans"/>
          <w:color w:val="1F2A30"/>
        </w:rPr>
        <w:t xml:space="preserve"> "Informing our product thinking" is safe. "Shaping the roadmap" is a soft promise that comes back. The date is required: an undated customer-facing artifact circulates indefinitely and gets read as current a year later.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Voice</w:t>
      </w:r>
    </w:p>
    <w:p>
      <w:pPr>
        <w:spacing w:before="60" w:after="100"/>
      </w:pPr>
      <w:r>
        <w:rPr>
          <w:rFonts w:ascii="Roboto Mono" w:hAnsi="Roboto Mono"/>
          <w:color w:val="1F2A30"/>
        </w:rPr>
        <w:t>VOICE-AND-STYLE.md</w:t>
      </w:r>
      <w:r>
        <w:rPr>
          <w:rFonts w:ascii="Public Sans" w:hAnsi="Public Sans"/>
          <w:color w:val="1F2A30"/>
        </w:rPr>
        <w:t xml:space="preserve"> governs, with three emphases: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Second person throughout.</w:t>
      </w:r>
      <w:r>
        <w:rPr>
          <w:rFonts w:ascii="Public Sans" w:hAnsi="Public Sans"/>
          <w:color w:val="1F2A30"/>
        </w:rPr>
        <w:t xml:space="preserve"> A participant summary in third person has missed the point.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No em dash interrupting a sentence</w:t>
      </w:r>
      <w:r>
        <w:rPr>
          <w:rFonts w:ascii="Public Sans" w:hAnsi="Public Sans"/>
          <w:color w:val="1F2A30"/>
        </w:rPr>
        <w:t xml:space="preserve"> (item 22). This bites hardest here, because the format invites appositives. Use commas.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Expand every acronym on first use.</w:t>
      </w:r>
      <w:r>
        <w:rPr>
          <w:rFonts w:ascii="Public Sans" w:hAnsi="Public Sans"/>
          <w:color w:val="1F2A30"/>
        </w:rPr>
        <w:t xml:space="preserve"> The participant knows their domain; the colleague they forward it to may not.</w:t>
      </w:r>
    </w:p>
    <w:p>
      <w:pPr>
        <w:spacing w:before="60" w:after="100"/>
      </w:pPr>
      <w:r>
        <w:rPr>
          <w:rFonts w:ascii="Public Sans" w:hAnsi="Public Sans"/>
          <w:color w:val="1F2A30"/>
        </w:rPr>
        <w:t>Warm, not effusive. One genuine thank-you, in the footer. Not three.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Before it goes out</w:t>
      </w:r>
    </w:p>
    <w:p>
      <w:pPr>
        <w:spacing w:before="60" w:after="100"/>
      </w:pPr>
      <w:r>
        <w:rPr>
          <w:rFonts w:ascii="Public Sans" w:hAnsi="Public Sans"/>
          <w:b/>
          <w:color w:val="1F2A30"/>
        </w:rPr>
        <w:t>Safety</w:t>
      </w:r>
      <w:r>
        <w:rPr>
          <w:rFonts w:ascii="Public Sans" w:hAnsi="Public Sans"/>
          <w:color w:val="1F2A30"/>
        </w:rPr>
        <w:t xml:space="preserve"> — no IDs, names, accounts, counts, quotes, or identifying roles.</w:t>
      </w:r>
    </w:p>
    <w:p>
      <w:pPr>
        <w:spacing w:before="60" w:after="100"/>
      </w:pPr>
      <w:r>
        <w:rPr>
          <w:rFonts w:ascii="Public Sans" w:hAnsi="Public Sans"/>
          <w:b/>
          <w:color w:val="1F2A30"/>
        </w:rPr>
        <w:t>Commitment</w:t>
      </w:r>
      <w:r>
        <w:rPr>
          <w:rFonts w:ascii="Public Sans" w:hAnsi="Public Sans"/>
          <w:color w:val="1F2A30"/>
        </w:rPr>
        <w:t xml:space="preserve"> — every condition opens with an attribution verb; no restricted topics; mechanisms marked "for example"; footer language soft; month and year present.</w:t>
      </w:r>
    </w:p>
    <w:p>
      <w:pPr>
        <w:spacing w:before="60" w:after="100"/>
      </w:pPr>
      <w:r>
        <w:rPr>
          <w:rFonts w:ascii="Public Sans" w:hAnsi="Public Sans"/>
          <w:b/>
          <w:color w:val="1F2A30"/>
        </w:rPr>
        <w:t>Framing</w:t>
      </w:r>
      <w:r>
        <w:rPr>
          <w:rFonts w:ascii="Public Sans" w:hAnsi="Public Sans"/>
          <w:color w:val="1F2A30"/>
        </w:rPr>
        <w:t xml:space="preserve"> — "adoption" not "migration"; conditions not blockers; no line mirroring internal doubt back at the customer.</w:t>
      </w:r>
    </w:p>
    <w:p>
      <w:pPr>
        <w:spacing w:before="60" w:after="100"/>
      </w:pPr>
      <w:r>
        <w:rPr>
          <w:rFonts w:ascii="Public Sans" w:hAnsi="Public Sans"/>
          <w:b/>
          <w:color w:val="1F2A30"/>
        </w:rPr>
        <w:t>Craft</w:t>
      </w:r>
      <w:r>
        <w:rPr>
          <w:rFonts w:ascii="Public Sans" w:hAnsi="Public Sans"/>
          <w:color w:val="1F2A30"/>
        </w:rPr>
        <w:t xml:space="preserve"> — second person; no mid-sentence em dashes; acronyms expanded; rendered output </w:t>
      </w:r>
      <w:r>
        <w:rPr>
          <w:rFonts w:ascii="Public Sans" w:hAnsi="Public Sans"/>
          <w:i/>
          <w:color w:val="1F2A30"/>
        </w:rPr>
        <w:t>viewed</w:t>
      </w:r>
      <w:r>
        <w:rPr>
          <w:rFonts w:ascii="Public Sans" w:hAnsi="Public Sans"/>
          <w:color w:val="1F2A30"/>
        </w:rPr>
        <w:t>, not just generated, with nothing clipped or overflowing.</w:t>
      </w:r>
    </w:p>
    <w:p>
      <w:pPr>
        <w:spacing w:before="60" w:after="100"/>
      </w:pPr>
      <w:r>
        <w:rPr>
          <w:rFonts w:ascii="Public Sans" w:hAnsi="Public Sans"/>
          <w:color w:val="1F2A30"/>
        </w:rPr>
        <w:t xml:space="preserve">A card that passes §4.10 is </w:t>
      </w:r>
      <w:r>
        <w:rPr>
          <w:rFonts w:ascii="Public Sans" w:hAnsi="Public Sans"/>
          <w:b/>
          <w:color w:val="1F2A30"/>
        </w:rPr>
        <w:t>ready for review, not ready to send.</w:t>
      </w:r>
      <w:r>
        <w:rPr>
          <w:rFonts w:ascii="Public Sans" w:hAnsi="Public Sans"/>
          <w:color w:val="1F2A30"/>
        </w:rPr>
        <w:t xml:space="preserve"> You read it yourself, then whoever owns customer communications reads it, and per §4.9 item 8 the product owner confirms the wording before it reaches a named account. No other artifact in the suite carries that caveat; this one always does.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Public Sans" w:hAnsi="Public Sans"/>
        <w:i/>
        <w:color w:val="5C6670"/>
        <w:sz w:val="18"/>
      </w:rPr>
      <w:t>Dr. Morgan UX research suite · template</w:t>
    </w:r>
    <w:r>
      <w:tab/>
    </w:r>
    <w:r>
      <w:rPr>
        <w:rFonts w:ascii="Public Sans" w:hAnsi="Public Sans"/>
        <w:color w:val="5C6670"/>
        <w:sz w:val="18"/>
      </w:rPr>
      <w:t xml:space="preserve">Page </w:t>
    </w:r>
    <w:r>
      <w:rPr>
        <w:rFonts w:ascii="Public Sans" w:hAnsi="Public Sans"/>
        <w:color w:val="5C667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02436"/>
      </w:pBdr>
    </w:pPr>
    <w:r>
      <w:rPr>
        <w:rFonts w:ascii="Public Sans" w:hAnsi="Public Sans"/>
        <w:b/>
        <w:color w:val="002436"/>
        <w:sz w:val="18"/>
      </w:rPr>
      <w:t>UX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Public Sans" w:hAnsi="Public Sans"/>
      <w:color w:val="1F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