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AC62" w14:textId="77777777" w:rsidR="007C5F6D" w:rsidRDefault="007C5F6D" w:rsidP="007C5F6D">
      <w:pPr>
        <w:spacing w:line="28" w:lineRule="exact"/>
        <w:ind w:left="-2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02A4D27" wp14:editId="31DE9940">
                <wp:extent cx="598043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18415"/>
                          <a:chOff x="0" y="0"/>
                          <a:chExt cx="598043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0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8415">
                                <a:moveTo>
                                  <a:pt x="5980175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980175" y="0"/>
                                </a:lnTo>
                                <a:lnTo>
                                  <a:pt x="598017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A188F" id="Group 1" o:spid="_x0000_s1026" style="width:470.9pt;height:1.45pt;mso-position-horizontal-relative:char;mso-position-vertical-relative:line" coordsize="5980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">
                <v:shape id="Graphic 2" o:spid="_x0000_s1027" style="position:absolute;width:59804;height:184;visibility:visible;mso-wrap-style:square;v-text-anchor:top" coordsize="59804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" path="m5980175,18287l,18287,,,5980175,r,18287xe" fillcolor="#ed7c31" stroked="f">
                  <v:path arrowok="t"/>
                </v:shape>
                <w10:anchorlock/>
              </v:group>
            </w:pict>
          </mc:Fallback>
        </mc:AlternateContent>
      </w:r>
    </w:p>
    <w:p w14:paraId="13CB2969" w14:textId="77777777" w:rsidR="007C5F6D" w:rsidRDefault="007C5F6D" w:rsidP="007C5F6D">
      <w:pPr>
        <w:pStyle w:val="BodyText"/>
        <w:spacing w:before="369"/>
        <w:rPr>
          <w:rFonts w:ascii="Times New Roman"/>
          <w:sz w:val="38"/>
        </w:rPr>
      </w:pPr>
    </w:p>
    <w:p w14:paraId="740053B8" w14:textId="35C40361" w:rsidR="007C5F6D" w:rsidRDefault="001D594C" w:rsidP="007C5F6D">
      <w:pPr>
        <w:pStyle w:val="Title"/>
      </w:pPr>
      <w:r>
        <w:rPr>
          <w:smallCaps/>
        </w:rPr>
        <w:t>Business Proposal: Predictive Engagement Modeling for Retail Banking</w:t>
      </w:r>
    </w:p>
    <w:p w14:paraId="4B98AAFC" w14:textId="77777777" w:rsidR="007C5F6D" w:rsidRDefault="007C5F6D" w:rsidP="007C5F6D">
      <w:pPr>
        <w:pStyle w:val="BodyText"/>
        <w:rPr>
          <w:sz w:val="38"/>
        </w:rPr>
      </w:pPr>
    </w:p>
    <w:p w14:paraId="3AE46A2D" w14:textId="77777777" w:rsidR="007C5F6D" w:rsidRDefault="007C5F6D" w:rsidP="007C5F6D">
      <w:pPr>
        <w:pStyle w:val="BodyText"/>
        <w:spacing w:before="10"/>
        <w:rPr>
          <w:sz w:val="38"/>
        </w:rPr>
      </w:pPr>
    </w:p>
    <w:p w14:paraId="2A9673B2" w14:textId="77777777" w:rsidR="001D594C" w:rsidRDefault="001D594C" w:rsidP="007C5F6D">
      <w:pPr>
        <w:pStyle w:val="BodyText"/>
        <w:spacing w:before="10"/>
        <w:rPr>
          <w:sz w:val="38"/>
        </w:rPr>
      </w:pPr>
    </w:p>
    <w:p w14:paraId="2373218D" w14:textId="77777777" w:rsidR="001D594C" w:rsidRDefault="001D594C" w:rsidP="007C5F6D">
      <w:pPr>
        <w:pStyle w:val="BodyText"/>
        <w:spacing w:before="10"/>
        <w:rPr>
          <w:sz w:val="38"/>
        </w:rPr>
      </w:pPr>
    </w:p>
    <w:p w14:paraId="710D21CA" w14:textId="2F0F356A" w:rsidR="001D594C" w:rsidRPr="001D594C" w:rsidRDefault="001D594C" w:rsidP="001D594C">
      <w:pPr>
        <w:pStyle w:val="BodyText"/>
        <w:spacing w:before="10"/>
        <w:jc w:val="center"/>
      </w:pPr>
      <w:r w:rsidRPr="001D594C">
        <w:t xml:space="preserve">Prepared for: Stakeholders of the Bank Marketing </w:t>
      </w:r>
      <w:r>
        <w:t>Campaign</w:t>
      </w:r>
    </w:p>
    <w:p w14:paraId="787AB509" w14:textId="77777777" w:rsidR="001D594C" w:rsidRDefault="001D594C" w:rsidP="007C5F6D">
      <w:pPr>
        <w:pStyle w:val="BodyText"/>
        <w:spacing w:before="10"/>
        <w:rPr>
          <w:sz w:val="38"/>
        </w:rPr>
      </w:pPr>
    </w:p>
    <w:p w14:paraId="5D1066A9" w14:textId="6E1D7C4F" w:rsidR="001D594C" w:rsidRPr="001D594C" w:rsidRDefault="00F468E4" w:rsidP="007C5F6D">
      <w:pPr>
        <w:pStyle w:val="BodyText"/>
        <w:spacing w:line="657" w:lineRule="auto"/>
        <w:ind w:left="1174" w:right="1898"/>
        <w:jc w:val="center"/>
        <w:rPr>
          <w:sz w:val="20"/>
          <w:szCs w:val="20"/>
        </w:rPr>
      </w:pPr>
      <w:r>
        <w:rPr>
          <w:sz w:val="20"/>
          <w:szCs w:val="20"/>
        </w:rPr>
        <w:t>Prepared by</w:t>
      </w:r>
      <w:r w:rsidR="001D594C" w:rsidRPr="001D594C">
        <w:rPr>
          <w:sz w:val="20"/>
          <w:szCs w:val="20"/>
        </w:rPr>
        <w:t xml:space="preserve">: </w:t>
      </w:r>
      <w:r w:rsidR="007C5F6D" w:rsidRPr="001D594C">
        <w:rPr>
          <w:sz w:val="20"/>
          <w:szCs w:val="20"/>
        </w:rPr>
        <w:t>Christian</w:t>
      </w:r>
      <w:r w:rsidR="007C5F6D" w:rsidRPr="001D594C">
        <w:rPr>
          <w:spacing w:val="-6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Shannon,</w:t>
      </w:r>
      <w:r w:rsidR="007C5F6D" w:rsidRPr="001D594C">
        <w:rPr>
          <w:spacing w:val="-4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Ashley</w:t>
      </w:r>
      <w:r w:rsidR="007C5F6D" w:rsidRPr="001D594C">
        <w:rPr>
          <w:spacing w:val="-4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Love,</w:t>
      </w:r>
      <w:r w:rsidR="007C5F6D" w:rsidRPr="001D594C">
        <w:rPr>
          <w:spacing w:val="-6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Mugtaba</w:t>
      </w:r>
      <w:r w:rsidR="007C5F6D" w:rsidRPr="001D594C">
        <w:rPr>
          <w:spacing w:val="-4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Awad,</w:t>
      </w:r>
      <w:r w:rsidR="007C5F6D" w:rsidRPr="001D594C">
        <w:rPr>
          <w:spacing w:val="-4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and</w:t>
      </w:r>
      <w:r w:rsidR="007C5F6D" w:rsidRPr="001D594C">
        <w:rPr>
          <w:spacing w:val="-7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Kirsten</w:t>
      </w:r>
      <w:r w:rsidR="001D594C" w:rsidRPr="001D594C">
        <w:rPr>
          <w:spacing w:val="-6"/>
          <w:sz w:val="20"/>
          <w:szCs w:val="20"/>
        </w:rPr>
        <w:t xml:space="preserve"> </w:t>
      </w:r>
      <w:r w:rsidR="007C5F6D" w:rsidRPr="001D594C">
        <w:rPr>
          <w:sz w:val="20"/>
          <w:szCs w:val="20"/>
        </w:rPr>
        <w:t>Livingston</w:t>
      </w:r>
    </w:p>
    <w:p w14:paraId="67CA1803" w14:textId="4F391CBD" w:rsidR="007C5F6D" w:rsidRDefault="007C5F6D" w:rsidP="007C5F6D">
      <w:pPr>
        <w:pStyle w:val="BodyText"/>
        <w:spacing w:line="657" w:lineRule="auto"/>
        <w:ind w:left="1174" w:right="1898"/>
        <w:jc w:val="center"/>
      </w:pPr>
      <w:r>
        <w:t>Bellevue University</w:t>
      </w:r>
    </w:p>
    <w:p w14:paraId="4F0818DC" w14:textId="77777777" w:rsidR="007C5F6D" w:rsidRDefault="007C5F6D" w:rsidP="007C5F6D">
      <w:pPr>
        <w:pStyle w:val="BodyText"/>
        <w:spacing w:before="2" w:line="660" w:lineRule="auto"/>
        <w:ind w:left="2710" w:right="3429"/>
        <w:jc w:val="center"/>
      </w:pPr>
      <w:r>
        <w:t>DSC</w:t>
      </w:r>
      <w:r>
        <w:rPr>
          <w:spacing w:val="-9"/>
        </w:rPr>
        <w:t xml:space="preserve"> </w:t>
      </w:r>
      <w:r>
        <w:t>450-T201</w:t>
      </w:r>
      <w:r>
        <w:rPr>
          <w:spacing w:val="-11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Science Professor Fadi Alsaleem</w:t>
      </w:r>
    </w:p>
    <w:p w14:paraId="04AE8DBC" w14:textId="26BEE648" w:rsidR="007C5F6D" w:rsidRDefault="007C5F6D" w:rsidP="007C5F6D">
      <w:pPr>
        <w:pStyle w:val="BodyText"/>
        <w:spacing w:line="268" w:lineRule="exact"/>
        <w:ind w:left="23" w:right="742"/>
        <w:jc w:val="center"/>
      </w:pPr>
      <w:r>
        <w:t>January</w:t>
      </w:r>
      <w:r>
        <w:rPr>
          <w:spacing w:val="-5"/>
        </w:rPr>
        <w:t xml:space="preserve"> </w:t>
      </w:r>
      <w:r>
        <w:t>18,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4AA49A2F" w14:textId="480F3C8F" w:rsidR="007C5F6D" w:rsidRDefault="00512004" w:rsidP="00F468E4">
      <w:pPr>
        <w:pStyle w:val="BodyText"/>
        <w:spacing w:line="268" w:lineRule="exact"/>
        <w:jc w:val="center"/>
        <w:rPr>
          <w:sz w:val="32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200B6E93" wp14:editId="541FC82E">
                <wp:simplePos x="0" y="0"/>
                <wp:positionH relativeFrom="margin">
                  <wp:align>right</wp:align>
                </wp:positionH>
                <wp:positionV relativeFrom="paragraph">
                  <wp:posOffset>3029585</wp:posOffset>
                </wp:positionV>
                <wp:extent cx="6385560" cy="1403985"/>
                <wp:effectExtent l="0" t="0" r="15240" b="1016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55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D49CA" w14:textId="4572EE79" w:rsidR="00F468E4" w:rsidRPr="00AE65BD" w:rsidRDefault="00110753" w:rsidP="00F468E4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rPr>
                                <w:rStyle w:val="Emphasis"/>
                              </w:rPr>
                            </w:pPr>
                            <w:r w:rsidRPr="00AE65BD">
                              <w:rPr>
                                <w:rStyle w:val="Emphasis"/>
                              </w:rPr>
                              <w:t xml:space="preserve">Executive Summary </w:t>
                            </w:r>
                            <w:r w:rsidR="00F468E4" w:rsidRPr="00AE65BD">
                              <w:rPr>
                                <w:rStyle w:val="Emphasis"/>
                              </w:rPr>
                              <w:t xml:space="preserve">This proposal outlines a predictive framework to move from mass-outreach to targeted engagement. By identifying a “Risk Zone” in the middle-aged demographic, we achieved a 49.5 % precision rate, providing a scalable ROI-driven solution for retail banking.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0B6E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1.6pt;margin-top:238.55pt;width:502.8pt;height:110.55pt;z-index:251659264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" filled="f" strokecolor="#ed7d31 [3205]">
                <v:textbox style="mso-fit-shape-to-text:t">
                  <w:txbxContent>
                    <w:p w14:paraId="57CD49CA" w14:textId="4572EE79" w:rsidR="00F468E4" w:rsidRPr="00AE65BD" w:rsidRDefault="00110753" w:rsidP="00F468E4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rPr>
                          <w:rStyle w:val="Emphasis"/>
                        </w:rPr>
                      </w:pPr>
                      <w:r w:rsidRPr="00AE65BD">
                        <w:rPr>
                          <w:rStyle w:val="Emphasis"/>
                        </w:rPr>
                        <w:t xml:space="preserve">Executive Summary </w:t>
                      </w:r>
                      <w:r w:rsidR="00F468E4" w:rsidRPr="00AE65BD">
                        <w:rPr>
                          <w:rStyle w:val="Emphasis"/>
                        </w:rPr>
                        <w:t xml:space="preserve">This proposal outlines a predictive framework to move from mass-outreach to targeted engagement. By identifying a “Risk Zone” in the middle-aged demographic, we achieved a 49.5 % precision rate, providing a scalable ROI-driven solution for retail banking.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E4B584" wp14:editId="43F050E0">
                <wp:simplePos x="0" y="0"/>
                <wp:positionH relativeFrom="page">
                  <wp:align>center</wp:align>
                </wp:positionH>
                <wp:positionV relativeFrom="paragraph">
                  <wp:posOffset>938530</wp:posOffset>
                </wp:positionV>
                <wp:extent cx="5074920" cy="1404620"/>
                <wp:effectExtent l="0" t="0" r="1143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B1B95" w14:textId="1F59F85D" w:rsidR="00891A35" w:rsidRPr="00110753" w:rsidRDefault="00891A35" w:rsidP="0051200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1075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Project Deliverables &amp; Repository Access</w:t>
                            </w:r>
                            <w:r>
                              <w:br/>
                            </w:r>
                            <w:r w:rsidRPr="0011075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GitHub Repository: </w:t>
                            </w:r>
                            <w:hyperlink r:id="rId7" w:history="1">
                              <w:r w:rsidR="003E208B" w:rsidRPr="003E208B"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  <w:t>https://github.com/cashannon/DSC-450-Applied-Data-Science</w:t>
                              </w:r>
                            </w:hyperlink>
                          </w:p>
                          <w:p w14:paraId="67382586" w14:textId="012FD1D4" w:rsidR="00891A35" w:rsidRDefault="00110753" w:rsidP="00512004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11075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Pr="0011075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Contains source code, Jupiter Notebooks, and the bank-additional-full.csv dataset)</w:t>
                            </w:r>
                          </w:p>
                          <w:p w14:paraId="4930FFA6" w14:textId="2E321123" w:rsidR="00165EE3" w:rsidRDefault="00165EE3" w:rsidP="0051200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Recorded Presentation: </w:t>
                            </w:r>
                            <w:hyperlink r:id="rId8" w:history="1">
                              <w:r w:rsidR="00DE259C" w:rsidRPr="00DE259C"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  <w:t>https://www.canva.com/design/DAG9koWKaK4/vhbgQZ2pM8lB56cZI8DwKg/edit</w:t>
                              </w:r>
                            </w:hyperlink>
                          </w:p>
                          <w:p w14:paraId="35452B9B" w14:textId="187A3D1E" w:rsidR="00165EE3" w:rsidRPr="00165EE3" w:rsidRDefault="00165EE3" w:rsidP="00512004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Final presentation deliverable as outlined in Part B of the Appendix)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E4B584" id="_x0000_s1027" type="#_x0000_t202" style="position:absolute;left:0;text-align:left;margin-left:0;margin-top:73.9pt;width:399.6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" filled="f">
                <v:textbox style="mso-fit-shape-to-text:t">
                  <w:txbxContent>
                    <w:p w14:paraId="647B1B95" w14:textId="1F59F85D" w:rsidR="00891A35" w:rsidRPr="00110753" w:rsidRDefault="00891A35" w:rsidP="0051200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10753">
                        <w:rPr>
                          <w:b/>
                          <w:bCs/>
                          <w:sz w:val="20"/>
                          <w:szCs w:val="20"/>
                        </w:rPr>
                        <w:t>Project Deliverables &amp; Repository Access</w:t>
                      </w:r>
                      <w:r>
                        <w:br/>
                      </w:r>
                      <w:r w:rsidRPr="00110753">
                        <w:rPr>
                          <w:b/>
                          <w:bCs/>
                          <w:sz w:val="18"/>
                          <w:szCs w:val="18"/>
                        </w:rPr>
                        <w:t xml:space="preserve">GitHub Repository: </w:t>
                      </w:r>
                      <w:hyperlink r:id="rId9" w:history="1">
                        <w:r w:rsidR="003E208B" w:rsidRPr="003E208B">
                          <w:rPr>
                            <w:rStyle w:val="Hyperlink"/>
                            <w:b/>
                            <w:bCs/>
                            <w:sz w:val="18"/>
                            <w:szCs w:val="18"/>
                          </w:rPr>
                          <w:t>https://github.com/cashannon/DSC-450-Applied-Data-Science</w:t>
                        </w:r>
                      </w:hyperlink>
                    </w:p>
                    <w:p w14:paraId="67382586" w14:textId="012FD1D4" w:rsidR="00891A35" w:rsidRDefault="00110753" w:rsidP="00512004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110753">
                        <w:rPr>
                          <w:sz w:val="18"/>
                          <w:szCs w:val="18"/>
                        </w:rPr>
                        <w:t>(</w:t>
                      </w:r>
                      <w:r w:rsidRPr="00110753">
                        <w:rPr>
                          <w:i/>
                          <w:iCs/>
                          <w:sz w:val="18"/>
                          <w:szCs w:val="18"/>
                        </w:rPr>
                        <w:t>Contains source code, Jupiter Notebooks, and the bank-additional-full.csv dataset)</w:t>
                      </w:r>
                    </w:p>
                    <w:p w14:paraId="4930FFA6" w14:textId="2E321123" w:rsidR="00165EE3" w:rsidRDefault="00165EE3" w:rsidP="0051200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Recorded Presentation: </w:t>
                      </w:r>
                      <w:hyperlink r:id="rId10" w:history="1">
                        <w:r w:rsidR="00DE259C" w:rsidRPr="00DE259C">
                          <w:rPr>
                            <w:rStyle w:val="Hyperlink"/>
                            <w:b/>
                            <w:bCs/>
                            <w:sz w:val="18"/>
                            <w:szCs w:val="18"/>
                          </w:rPr>
                          <w:t>https://www.canva.com/design/DAG9koWKaK4/vhbgQZ2pM8lB56cZI8DwKg/edit</w:t>
                        </w:r>
                      </w:hyperlink>
                    </w:p>
                    <w:p w14:paraId="35452B9B" w14:textId="187A3D1E" w:rsidR="00165EE3" w:rsidRPr="00165EE3" w:rsidRDefault="00165EE3" w:rsidP="00512004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Final presentation deliverable as outlined in Part B of the Appendix)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468E4">
        <w:br w:type="page"/>
      </w:r>
      <w:r w:rsidR="007C5F6D">
        <w:rPr>
          <w:smallCaps/>
          <w:sz w:val="32"/>
        </w:rPr>
        <w:lastRenderedPageBreak/>
        <w:t>Table</w:t>
      </w:r>
      <w:r w:rsidR="007C5F6D">
        <w:rPr>
          <w:smallCaps/>
          <w:spacing w:val="17"/>
          <w:sz w:val="32"/>
        </w:rPr>
        <w:t xml:space="preserve"> </w:t>
      </w:r>
      <w:r w:rsidR="007C5F6D">
        <w:rPr>
          <w:smallCaps/>
          <w:sz w:val="32"/>
        </w:rPr>
        <w:t>of</w:t>
      </w:r>
      <w:r w:rsidR="007C5F6D">
        <w:rPr>
          <w:smallCaps/>
          <w:spacing w:val="16"/>
          <w:sz w:val="32"/>
        </w:rPr>
        <w:t xml:space="preserve"> </w:t>
      </w:r>
      <w:r w:rsidR="007C5F6D">
        <w:rPr>
          <w:smallCaps/>
          <w:spacing w:val="-2"/>
          <w:sz w:val="32"/>
        </w:rPr>
        <w:t>Contents</w:t>
      </w:r>
    </w:p>
    <w:sdt>
      <w:sdtPr>
        <w:rPr>
          <w:b w:val="0"/>
          <w:bCs w:val="0"/>
          <w:i w:val="0"/>
          <w:iCs w:val="0"/>
          <w:sz w:val="22"/>
          <w:szCs w:val="22"/>
        </w:rPr>
        <w:id w:val="-1971432800"/>
        <w:docPartObj>
          <w:docPartGallery w:val="Table of Contents"/>
          <w:docPartUnique/>
        </w:docPartObj>
      </w:sdtPr>
      <w:sdtContent>
        <w:p w14:paraId="0A5C50E1" w14:textId="0C8C4C69" w:rsidR="000158AC" w:rsidRDefault="007C5F6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0003086" w:history="1">
            <w:r w:rsidR="000158AC" w:rsidRPr="00DE0B99">
              <w:rPr>
                <w:rStyle w:val="Hyperlink"/>
                <w:smallCaps/>
                <w:noProof/>
                <w:spacing w:val="-2"/>
              </w:rPr>
              <w:t>Introduction</w:t>
            </w:r>
            <w:r w:rsidR="000158AC">
              <w:rPr>
                <w:noProof/>
                <w:webHidden/>
              </w:rPr>
              <w:tab/>
            </w:r>
            <w:r w:rsidR="000158AC">
              <w:rPr>
                <w:noProof/>
                <w:webHidden/>
              </w:rPr>
              <w:fldChar w:fldCharType="begin"/>
            </w:r>
            <w:r w:rsidR="000158AC">
              <w:rPr>
                <w:noProof/>
                <w:webHidden/>
              </w:rPr>
              <w:instrText xml:space="preserve"> PAGEREF _Toc220003086 \h </w:instrText>
            </w:r>
            <w:r w:rsidR="000158AC">
              <w:rPr>
                <w:noProof/>
                <w:webHidden/>
              </w:rPr>
            </w:r>
            <w:r w:rsidR="000158AC">
              <w:rPr>
                <w:noProof/>
                <w:webHidden/>
              </w:rPr>
              <w:fldChar w:fldCharType="separate"/>
            </w:r>
            <w:r w:rsidR="000158AC">
              <w:rPr>
                <w:noProof/>
                <w:webHidden/>
              </w:rPr>
              <w:t>3</w:t>
            </w:r>
            <w:r w:rsidR="000158AC">
              <w:rPr>
                <w:noProof/>
                <w:webHidden/>
              </w:rPr>
              <w:fldChar w:fldCharType="end"/>
            </w:r>
          </w:hyperlink>
        </w:p>
        <w:p w14:paraId="129772C0" w14:textId="504B4FFC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87" w:history="1">
            <w:r w:rsidRPr="00DE0B99">
              <w:rPr>
                <w:rStyle w:val="Hyperlink"/>
                <w:smallCaps/>
                <w:noProof/>
              </w:rPr>
              <w:t>Business</w:t>
            </w:r>
            <w:r w:rsidRPr="00DE0B99">
              <w:rPr>
                <w:rStyle w:val="Hyperlink"/>
                <w:smallCaps/>
                <w:noProof/>
                <w:spacing w:val="34"/>
              </w:rPr>
              <w:t xml:space="preserve"> </w:t>
            </w:r>
            <w:r w:rsidRPr="00DE0B99">
              <w:rPr>
                <w:rStyle w:val="Hyperlink"/>
                <w:smallCaps/>
                <w:noProof/>
                <w:spacing w:val="-2"/>
              </w:rPr>
              <w:t>Problem/Hypothesis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ED44" w14:textId="1790DD00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88" w:history="1">
            <w:r w:rsidRPr="00DE0B99">
              <w:rPr>
                <w:rStyle w:val="Hyperlink"/>
                <w:smallCaps/>
                <w:noProof/>
                <w:spacing w:val="-2"/>
              </w:rPr>
              <w:t>Methods/Analysis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286A" w14:textId="2765AF4E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89" w:history="1">
            <w:r w:rsidRPr="00DE0B99">
              <w:rPr>
                <w:rStyle w:val="Hyperlink"/>
                <w:smallCaps/>
                <w:noProof/>
                <w:spacing w:val="-2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34C3" w14:textId="27EAEB63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90" w:history="1">
            <w:r w:rsidRPr="00DE0B99">
              <w:rPr>
                <w:rStyle w:val="Hyperlink"/>
                <w:smallCaps/>
                <w:noProof/>
                <w:spacing w:val="-2"/>
              </w:rPr>
              <w:t>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F6E6" w14:textId="27CA8FB1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91" w:history="1">
            <w:r w:rsidRPr="00DE0B99">
              <w:rPr>
                <w:rStyle w:val="Hyperlink"/>
                <w:smallCaps/>
                <w:noProof/>
                <w:spacing w:val="2"/>
              </w:rPr>
              <w:t>Recommendations and 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E27F" w14:textId="47FBC341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92" w:history="1">
            <w:r w:rsidRPr="00DE0B99">
              <w:rPr>
                <w:rStyle w:val="Hyperlink"/>
                <w:smallCaps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EF3E" w14:textId="2E2F2081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93" w:history="1">
            <w:r w:rsidRPr="00DE0B99">
              <w:rPr>
                <w:rStyle w:val="Hyperlink"/>
                <w:smallCaps/>
                <w:noProof/>
                <w:spacing w:val="-2"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CD7A" w14:textId="26029278" w:rsidR="000158AC" w:rsidRDefault="000158A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003094" w:history="1">
            <w:r w:rsidRPr="00DE0B99">
              <w:rPr>
                <w:rStyle w:val="Hyperlink"/>
                <w:smallCaps/>
                <w:noProof/>
                <w:spacing w:val="-2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8C82" w14:textId="1BA9A4C1" w:rsidR="007C5F6D" w:rsidRDefault="007C5F6D" w:rsidP="007C5F6D">
          <w:r>
            <w:fldChar w:fldCharType="end"/>
          </w:r>
        </w:p>
      </w:sdtContent>
    </w:sdt>
    <w:p w14:paraId="786817A9" w14:textId="77777777" w:rsidR="007C5F6D" w:rsidRDefault="007C5F6D" w:rsidP="007C5F6D">
      <w:pPr>
        <w:sectPr w:rsidR="007C5F6D" w:rsidSect="00F468E4">
          <w:headerReference w:type="default" r:id="rId11"/>
          <w:pgSz w:w="12240" w:h="15840"/>
          <w:pgMar w:top="1420" w:right="720" w:bottom="280" w:left="1440" w:header="720" w:footer="720" w:gutter="0"/>
          <w:cols w:space="720"/>
          <w:titlePg/>
          <w:docGrid w:linePitch="299"/>
        </w:sectPr>
      </w:pPr>
    </w:p>
    <w:p w14:paraId="4C60B6B0" w14:textId="77777777" w:rsidR="007C5F6D" w:rsidRDefault="007C5F6D" w:rsidP="007C5F6D">
      <w:pPr>
        <w:pStyle w:val="Heading1"/>
        <w:spacing w:before="20"/>
      </w:pPr>
      <w:bookmarkStart w:id="0" w:name="_Toc220003086"/>
      <w:r>
        <w:rPr>
          <w:smallCaps/>
          <w:spacing w:val="-2"/>
        </w:rPr>
        <w:lastRenderedPageBreak/>
        <w:t>Introduction</w:t>
      </w:r>
      <w:bookmarkEnd w:id="0"/>
    </w:p>
    <w:p w14:paraId="354D675D" w14:textId="77777777" w:rsidR="007C5F6D" w:rsidRDefault="007C5F6D" w:rsidP="007C5F6D">
      <w:pPr>
        <w:pStyle w:val="BodyText"/>
        <w:spacing w:before="112"/>
        <w:rPr>
          <w:sz w:val="26"/>
        </w:rPr>
      </w:pPr>
    </w:p>
    <w:p w14:paraId="75832410" w14:textId="0A1FF61E" w:rsidR="007C5F6D" w:rsidRPr="003B509A" w:rsidRDefault="007C5F6D" w:rsidP="006F3FC5">
      <w:pPr>
        <w:pStyle w:val="BodyText"/>
        <w:spacing w:line="480" w:lineRule="auto"/>
      </w:pPr>
      <w:r w:rsidRPr="003B509A">
        <w:t>In the modern retail banking landscape, the cost of acquiring new customers often exceeds the cost of retaining existing ones. This project utilizes the “Bank Marketing” dataset</w:t>
      </w:r>
      <w:r w:rsidR="009F2719" w:rsidRPr="003B509A">
        <w:t xml:space="preserve"> </w:t>
      </w:r>
      <w:hyperlink r:id="rId12" w:history="1">
        <w:r w:rsidRPr="003B509A">
          <w:rPr>
            <w:rStyle w:val="Hyperlink"/>
            <w:color w:val="auto"/>
            <w:u w:val="none"/>
          </w:rPr>
          <w:t>(</w:t>
        </w:r>
        <w:r w:rsidR="001D594C" w:rsidRPr="003B509A">
          <w:rPr>
            <w:rStyle w:val="Hyperlink"/>
            <w:color w:val="auto"/>
            <w:u w:val="none"/>
          </w:rPr>
          <w:t>‘</w:t>
        </w:r>
        <w:r w:rsidRPr="003B509A">
          <w:rPr>
            <w:rStyle w:val="Hyperlink"/>
            <w:color w:val="auto"/>
            <w:u w:val="none"/>
          </w:rPr>
          <w:t>bank-additional-full.csv</w:t>
        </w:r>
        <w:r w:rsidR="001D594C" w:rsidRPr="003B509A">
          <w:rPr>
            <w:rStyle w:val="Hyperlink"/>
            <w:color w:val="auto"/>
            <w:u w:val="none"/>
          </w:rPr>
          <w:t>’</w:t>
        </w:r>
        <w:r w:rsidRPr="003B509A">
          <w:rPr>
            <w:rStyle w:val="Hyperlink"/>
            <w:color w:val="auto"/>
            <w:u w:val="none"/>
          </w:rPr>
          <w:t>)</w:t>
        </w:r>
      </w:hyperlink>
      <w:r w:rsidRPr="003B509A">
        <w:t xml:space="preserve"> from a Portuguese banking institution to investigate customer engagement patterns during term</w:t>
      </w:r>
      <w:r w:rsidRPr="003B509A">
        <w:rPr>
          <w:rFonts w:ascii="Cambria Math" w:hAnsi="Cambria Math" w:cs="Cambria Math"/>
        </w:rPr>
        <w:t>‑</w:t>
      </w:r>
      <w:r w:rsidRPr="003B509A">
        <w:t>deposit telemarketing campaigns. While the original objective was to predict which clients would subscribe to a term deposit after phone contact, this work reframes the problem as a propensity</w:t>
      </w:r>
      <w:r w:rsidRPr="003B509A">
        <w:rPr>
          <w:rFonts w:ascii="Cambria Math" w:hAnsi="Cambria Math" w:cs="Cambria Math"/>
        </w:rPr>
        <w:t>‑</w:t>
      </w:r>
      <w:r w:rsidRPr="003B509A">
        <w:t>to</w:t>
      </w:r>
      <w:r w:rsidRPr="003B509A">
        <w:rPr>
          <w:rFonts w:ascii="Cambria Math" w:hAnsi="Cambria Math" w:cs="Cambria Math"/>
        </w:rPr>
        <w:t>‑</w:t>
      </w:r>
      <w:r w:rsidRPr="003B509A">
        <w:t>engage study. By analyzing socio</w:t>
      </w:r>
      <w:r w:rsidRPr="003B509A">
        <w:rPr>
          <w:rFonts w:ascii="Cambria Math" w:hAnsi="Cambria Math" w:cs="Cambria Math"/>
        </w:rPr>
        <w:t>‑</w:t>
      </w:r>
      <w:r w:rsidRPr="003B509A">
        <w:t>demographic, behavioral, and macroeconomic variables, the goal is to shift from inefficient mass calling to a data</w:t>
      </w:r>
      <w:r w:rsidRPr="003B509A">
        <w:rPr>
          <w:rFonts w:ascii="Cambria Math" w:hAnsi="Cambria Math" w:cs="Cambria Math"/>
        </w:rPr>
        <w:t>‑</w:t>
      </w:r>
      <w:r w:rsidRPr="003B509A">
        <w:t>driven predictive targeting approach.</w:t>
      </w:r>
      <w:r w:rsidR="001D594C" w:rsidRPr="003B509A">
        <w:t xml:space="preserve"> (Moro et al., 2014).</w:t>
      </w:r>
    </w:p>
    <w:p w14:paraId="430B6C61" w14:textId="77777777" w:rsidR="007C5F6D" w:rsidRDefault="007C5F6D" w:rsidP="007C5F6D">
      <w:pPr>
        <w:pStyle w:val="BodyText"/>
        <w:spacing w:before="33"/>
      </w:pPr>
    </w:p>
    <w:p w14:paraId="284994BD" w14:textId="77777777" w:rsidR="007C5F6D" w:rsidRDefault="007C5F6D" w:rsidP="007C5F6D">
      <w:pPr>
        <w:pStyle w:val="Heading1"/>
      </w:pPr>
      <w:bookmarkStart w:id="1" w:name="_Toc220003087"/>
      <w:r>
        <w:rPr>
          <w:smallCaps/>
        </w:rPr>
        <w:t>Business</w:t>
      </w:r>
      <w:r>
        <w:rPr>
          <w:smallCaps/>
          <w:spacing w:val="34"/>
        </w:rPr>
        <w:t xml:space="preserve"> </w:t>
      </w:r>
      <w:r>
        <w:rPr>
          <w:smallCaps/>
          <w:spacing w:val="-2"/>
        </w:rPr>
        <w:t>Problem/Hypothesis</w:t>
      </w:r>
      <w:bookmarkEnd w:id="1"/>
    </w:p>
    <w:p w14:paraId="29DBE5C9" w14:textId="77777777" w:rsidR="007C5F6D" w:rsidRDefault="007C5F6D" w:rsidP="007C5F6D">
      <w:pPr>
        <w:pStyle w:val="BodyText"/>
        <w:spacing w:before="112"/>
        <w:rPr>
          <w:sz w:val="26"/>
        </w:rPr>
      </w:pPr>
    </w:p>
    <w:p w14:paraId="740B22AA" w14:textId="061EEEC1" w:rsidR="007C5F6D" w:rsidRPr="003B509A" w:rsidRDefault="007C5F6D" w:rsidP="006F3FC5">
      <w:pPr>
        <w:pStyle w:val="BodyText"/>
        <w:spacing w:line="480" w:lineRule="auto"/>
      </w:pPr>
      <w:r w:rsidRPr="003B509A">
        <w:t xml:space="preserve">The core business problem is the low effectiveness of current </w:t>
      </w:r>
      <w:proofErr w:type="gramStart"/>
      <w:r w:rsidRPr="003B509A">
        <w:t>outbound term-</w:t>
      </w:r>
      <w:proofErr w:type="gramEnd"/>
      <w:r w:rsidRPr="003B509A">
        <w:t>deposit campaigns, where approximately 88% of contacted clients do not subscribe. This high “no” rate drives substantial operational cost per successful conversion and increases the risk of customer fatigue –</w:t>
      </w:r>
      <w:r w:rsidR="001D594C" w:rsidRPr="003B509A">
        <w:t>defined</w:t>
      </w:r>
      <w:r w:rsidRPr="003B509A">
        <w:t xml:space="preserve"> here as “engagement churn”. Our hypothesis is that by identifying a specific “risk zone” of low-engagement profiles, the bank can optimize outreach frequency and timing to improve ROI.</w:t>
      </w:r>
    </w:p>
    <w:p w14:paraId="6A3DBB02" w14:textId="7D6AD8F9" w:rsidR="007C5F6D" w:rsidRDefault="007C5F6D" w:rsidP="006F3FC5">
      <w:pPr>
        <w:widowControl/>
        <w:autoSpaceDE/>
        <w:autoSpaceDN/>
        <w:spacing w:after="160" w:line="480" w:lineRule="auto"/>
      </w:pPr>
      <w:r>
        <w:br w:type="page"/>
      </w:r>
    </w:p>
    <w:p w14:paraId="5D3C2141" w14:textId="77777777" w:rsidR="007C5F6D" w:rsidRDefault="007C5F6D" w:rsidP="007C5F6D">
      <w:pPr>
        <w:pStyle w:val="Heading1"/>
      </w:pPr>
      <w:bookmarkStart w:id="2" w:name="_Toc220003088"/>
      <w:r>
        <w:rPr>
          <w:smallCaps/>
          <w:spacing w:val="-2"/>
        </w:rPr>
        <w:lastRenderedPageBreak/>
        <w:t>Methods/Analysis</w:t>
      </w:r>
      <w:bookmarkEnd w:id="2"/>
    </w:p>
    <w:p w14:paraId="66D4992C" w14:textId="77777777" w:rsidR="007C5F6D" w:rsidRDefault="007C5F6D" w:rsidP="007C5F6D">
      <w:pPr>
        <w:pStyle w:val="BodyText"/>
        <w:spacing w:before="112"/>
        <w:rPr>
          <w:sz w:val="26"/>
        </w:rPr>
      </w:pPr>
    </w:p>
    <w:p w14:paraId="05050FAB" w14:textId="421E933B" w:rsidR="007C5F6D" w:rsidRDefault="007C5F6D" w:rsidP="006F3FC5">
      <w:pPr>
        <w:pStyle w:val="BodyText"/>
        <w:spacing w:line="480" w:lineRule="auto"/>
      </w:pPr>
      <w:r>
        <w:t>Our</w:t>
      </w:r>
      <w:r>
        <w:rPr>
          <w:spacing w:val="-5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specialized</w:t>
      </w:r>
      <w:r w:rsidR="001D594C">
        <w:t xml:space="preserve"> pipeline divided into three critical roles to ensure a rigorous and repeatable process (McKinney, 2022)</w:t>
      </w:r>
      <w:r w:rsidR="00D70BA1">
        <w:t>.</w:t>
      </w:r>
    </w:p>
    <w:p w14:paraId="5DC9A8CB" w14:textId="06417207" w:rsidR="001D594C" w:rsidRPr="00D70BA1" w:rsidRDefault="007C5F6D" w:rsidP="006F3FC5">
      <w:pPr>
        <w:pStyle w:val="BodyText"/>
        <w:spacing w:line="480" w:lineRule="auto"/>
        <w:rPr>
          <w:b/>
          <w:bCs/>
        </w:rPr>
      </w:pPr>
      <w:r w:rsidRPr="00D70BA1">
        <w:rPr>
          <w:b/>
          <w:bCs/>
        </w:rPr>
        <w:t>Data</w:t>
      </w:r>
      <w:r w:rsidRPr="00D70BA1">
        <w:rPr>
          <w:b/>
          <w:bCs/>
          <w:spacing w:val="-5"/>
        </w:rPr>
        <w:t xml:space="preserve"> </w:t>
      </w:r>
      <w:r w:rsidRPr="00D70BA1">
        <w:rPr>
          <w:b/>
          <w:bCs/>
        </w:rPr>
        <w:t>Wrangling (Step-by-Step Preprocessing)</w:t>
      </w:r>
    </w:p>
    <w:p w14:paraId="1B84187B" w14:textId="77777777" w:rsidR="00D35D0D" w:rsidRDefault="001D594C" w:rsidP="00AE65BD">
      <w:pPr>
        <w:pStyle w:val="ListParagraph"/>
        <w:numPr>
          <w:ilvl w:val="0"/>
          <w:numId w:val="23"/>
        </w:numPr>
        <w:spacing w:line="480" w:lineRule="auto"/>
      </w:pPr>
      <w:r>
        <w:t xml:space="preserve">Structure &amp; Imbalance: </w:t>
      </w:r>
      <w:r w:rsidR="007C5F6D">
        <w:t>We</w:t>
      </w:r>
      <w:r w:rsidR="007C5F6D" w:rsidRPr="00D35D0D">
        <w:rPr>
          <w:spacing w:val="-5"/>
        </w:rPr>
        <w:t xml:space="preserve"> </w:t>
      </w:r>
      <w:r w:rsidR="007C5F6D">
        <w:t>loaded</w:t>
      </w:r>
      <w:r w:rsidR="007C5F6D" w:rsidRPr="00D35D0D">
        <w:rPr>
          <w:spacing w:val="-5"/>
        </w:rPr>
        <w:t xml:space="preserve"> </w:t>
      </w:r>
      <w:hyperlink r:id="rId13" w:history="1">
        <w:r w:rsidR="007C5F6D" w:rsidRPr="00D35D0D">
          <w:rPr>
            <w:rStyle w:val="Hyperlink"/>
          </w:rPr>
          <w:t>the</w:t>
        </w:r>
        <w:r w:rsidR="007C5F6D" w:rsidRPr="00D35D0D">
          <w:rPr>
            <w:rStyle w:val="Hyperlink"/>
            <w:spacing w:val="-1"/>
          </w:rPr>
          <w:t xml:space="preserve"> </w:t>
        </w:r>
        <w:r w:rsidR="007C5F6D" w:rsidRPr="00D35D0D">
          <w:rPr>
            <w:rStyle w:val="Hyperlink"/>
          </w:rPr>
          <w:t>bank-additional-full.csv</w:t>
        </w:r>
      </w:hyperlink>
      <w:r w:rsidR="007C5F6D" w:rsidRPr="00D35D0D">
        <w:rPr>
          <w:spacing w:val="-3"/>
        </w:rPr>
        <w:t xml:space="preserve"> </w:t>
      </w:r>
      <w:r w:rsidR="007C5F6D">
        <w:t>file</w:t>
      </w:r>
      <w:r w:rsidR="007C5F6D" w:rsidRPr="00D35D0D">
        <w:rPr>
          <w:spacing w:val="-5"/>
        </w:rPr>
        <w:t xml:space="preserve"> </w:t>
      </w:r>
      <w:r w:rsidR="007C5F6D">
        <w:t>with</w:t>
      </w:r>
      <w:r w:rsidR="007C5F6D" w:rsidRPr="00D35D0D">
        <w:rPr>
          <w:spacing w:val="-5"/>
        </w:rPr>
        <w:t xml:space="preserve"> </w:t>
      </w:r>
      <w:r w:rsidR="007C5F6D">
        <w:t>an</w:t>
      </w:r>
      <w:r w:rsidR="007C5F6D" w:rsidRPr="00D35D0D">
        <w:rPr>
          <w:spacing w:val="-5"/>
        </w:rPr>
        <w:t xml:space="preserve"> </w:t>
      </w:r>
      <w:r w:rsidR="007C5F6D">
        <w:t>explicit</w:t>
      </w:r>
      <w:r w:rsidR="007C5F6D" w:rsidRPr="00D35D0D">
        <w:rPr>
          <w:spacing w:val="-4"/>
        </w:rPr>
        <w:t xml:space="preserve"> </w:t>
      </w:r>
      <w:r w:rsidR="007C5F6D">
        <w:t>semicolon</w:t>
      </w:r>
      <w:r w:rsidR="007C5F6D" w:rsidRPr="00D35D0D">
        <w:rPr>
          <w:spacing w:val="-4"/>
        </w:rPr>
        <w:t xml:space="preserve"> </w:t>
      </w:r>
      <w:r w:rsidR="007C5F6D">
        <w:t xml:space="preserve">separator to parse all 21 original columns. We performed a deep inspection of structure and types, confirming the absence of null values while identifying a significant class imbalance (88.7% “no” vs. 11.3% “yes”). </w:t>
      </w:r>
    </w:p>
    <w:p w14:paraId="07B27EA5" w14:textId="4AB84D8E" w:rsidR="007C5F6D" w:rsidRDefault="007C5F6D" w:rsidP="00AE65BD">
      <w:pPr>
        <w:pStyle w:val="ListParagraph"/>
        <w:numPr>
          <w:ilvl w:val="0"/>
          <w:numId w:val="23"/>
        </w:numPr>
        <w:spacing w:line="480" w:lineRule="auto"/>
      </w:pPr>
      <w:r>
        <w:t>Cleaned Contact History: Created a new binary indicator (</w:t>
      </w:r>
      <w:proofErr w:type="spellStart"/>
      <w:r>
        <w:t>pdays_never_contacted</w:t>
      </w:r>
      <w:proofErr w:type="spellEnd"/>
      <w:r>
        <w:t xml:space="preserve">) for clients never previously reached and recoded the placeholder value 999 to 1 to align with original documentation conventions. </w:t>
      </w:r>
    </w:p>
    <w:p w14:paraId="65B12DA5" w14:textId="77777777" w:rsidR="007C5F6D" w:rsidRDefault="007C5F6D" w:rsidP="00AE65BD">
      <w:pPr>
        <w:pStyle w:val="ListParagraph"/>
        <w:numPr>
          <w:ilvl w:val="0"/>
          <w:numId w:val="23"/>
        </w:numPr>
        <w:spacing w:line="480" w:lineRule="auto"/>
      </w:pPr>
      <w:r>
        <w:t xml:space="preserve">Managed Categorical Noise: Profiling revealed “unknown” values in features like job and education; these were retained as explicit categories to preserve potential signal rather than being imputed or dropped. </w:t>
      </w:r>
    </w:p>
    <w:p w14:paraId="59310B80" w14:textId="1D3C044D" w:rsidR="007C5F6D" w:rsidRDefault="007C5F6D" w:rsidP="00AE65BD">
      <w:pPr>
        <w:pStyle w:val="ListParagraph"/>
        <w:numPr>
          <w:ilvl w:val="0"/>
          <w:numId w:val="23"/>
        </w:numPr>
        <w:spacing w:line="480" w:lineRule="auto"/>
      </w:pPr>
      <w:r>
        <w:t xml:space="preserve">Feature Expansion: </w:t>
      </w:r>
      <w:r w:rsidR="00D35D0D">
        <w:t>Utilized</w:t>
      </w:r>
      <w:r>
        <w:t xml:space="preserve"> a </w:t>
      </w:r>
      <w:proofErr w:type="spellStart"/>
      <w:r>
        <w:t>OneHotEncoder</w:t>
      </w:r>
      <w:proofErr w:type="spellEnd"/>
      <w:r>
        <w:t xml:space="preserve"> on all categorical predictors, dropping the first category to avoid the “dummy variable trap.” This expanded our feature space from 21 to 54 fully numeric columns suitable for machine learning algorithms. </w:t>
      </w:r>
    </w:p>
    <w:p w14:paraId="4993114E" w14:textId="77777777" w:rsidR="007C5F6D" w:rsidRDefault="007C5F6D" w:rsidP="006F3FC5">
      <w:pPr>
        <w:pStyle w:val="BodyText"/>
        <w:spacing w:line="480" w:lineRule="auto"/>
      </w:pPr>
    </w:p>
    <w:p w14:paraId="7F4A84A9" w14:textId="77777777" w:rsidR="00D70BA1" w:rsidRDefault="007C5F6D" w:rsidP="006F3FC5">
      <w:pPr>
        <w:pStyle w:val="BodyText"/>
        <w:spacing w:line="480" w:lineRule="auto"/>
      </w:pPr>
      <w:r w:rsidRPr="00D70BA1">
        <w:rPr>
          <w:b/>
          <w:bCs/>
        </w:rPr>
        <w:t>Data Modeling (Pipeline Construction &amp; Validation)</w:t>
      </w:r>
      <w:r>
        <w:t xml:space="preserve">  </w:t>
      </w:r>
    </w:p>
    <w:p w14:paraId="2A0BB514" w14:textId="3AC808D9" w:rsidR="007C5F6D" w:rsidRDefault="007C5F6D" w:rsidP="006F3FC5">
      <w:pPr>
        <w:pStyle w:val="BodyText"/>
        <w:spacing w:line="480" w:lineRule="auto"/>
      </w:pPr>
      <w:r>
        <w:t xml:space="preserve">The modeling workflow framed the task as a binary classification problem using a stratified training and test split (80/20) to maintain the original class imbalance. To ensure model integrity and predictive power, we implemented the </w:t>
      </w:r>
      <w:r w:rsidR="00D70BA1">
        <w:t>following.</w:t>
      </w:r>
    </w:p>
    <w:p w14:paraId="1E2E8EA5" w14:textId="0C23A690" w:rsidR="007C5F6D" w:rsidRDefault="007C5F6D" w:rsidP="00AE65BD">
      <w:pPr>
        <w:pStyle w:val="ListParagraph"/>
        <w:numPr>
          <w:ilvl w:val="0"/>
          <w:numId w:val="22"/>
        </w:numPr>
        <w:spacing w:line="480" w:lineRule="auto"/>
      </w:pPr>
      <w:r>
        <w:t xml:space="preserve">Leakage Prevention: The </w:t>
      </w:r>
      <w:r w:rsidR="00D35D0D">
        <w:t>‘</w:t>
      </w:r>
      <w:r>
        <w:t>duration</w:t>
      </w:r>
      <w:r w:rsidR="00D35D0D">
        <w:t>’</w:t>
      </w:r>
      <w:r>
        <w:t xml:space="preserve"> variable was explicitly excluded prior to model training, as </w:t>
      </w:r>
      <w:r w:rsidR="00D35D0D">
        <w:t>it is only known after a call concludes.</w:t>
      </w:r>
      <w:r>
        <w:t xml:space="preserve"> </w:t>
      </w:r>
    </w:p>
    <w:p w14:paraId="184CA89F" w14:textId="77777777" w:rsidR="00D35D0D" w:rsidRDefault="007C5F6D" w:rsidP="00AE65BD">
      <w:pPr>
        <w:pStyle w:val="ListParagraph"/>
        <w:numPr>
          <w:ilvl w:val="0"/>
          <w:numId w:val="22"/>
        </w:numPr>
        <w:spacing w:line="480" w:lineRule="auto"/>
      </w:pPr>
      <w:r>
        <w:t xml:space="preserve">Class Balancing </w:t>
      </w:r>
      <w:r w:rsidR="00D35D0D">
        <w:t xml:space="preserve">: We applied Synthetic Minority Over-Sampling Technique (SMOTE) strictly to the training data to address skewed classes without leaking information into the test set. </w:t>
      </w:r>
    </w:p>
    <w:p w14:paraId="094131CE" w14:textId="3DF14547" w:rsidR="007C5F6D" w:rsidRDefault="007C5F6D" w:rsidP="00AE65BD">
      <w:pPr>
        <w:pStyle w:val="ListParagraph"/>
        <w:numPr>
          <w:ilvl w:val="0"/>
          <w:numId w:val="22"/>
        </w:numPr>
        <w:spacing w:line="480" w:lineRule="auto"/>
      </w:pPr>
      <w:r>
        <w:t xml:space="preserve">Model Comparison: We trained </w:t>
      </w:r>
      <w:r w:rsidR="00D35D0D">
        <w:t xml:space="preserve">a Random Forest Classifier and a Logistic Regression baseline, evaluating </w:t>
      </w:r>
      <w:r w:rsidR="00D35D0D">
        <w:lastRenderedPageBreak/>
        <w:t>them on ROC- AUC and precision-recall curves (</w:t>
      </w:r>
      <w:proofErr w:type="spellStart"/>
      <w:r w:rsidR="00D35D0D">
        <w:t>GeeksforGeeks</w:t>
      </w:r>
      <w:proofErr w:type="spellEnd"/>
      <w:r w:rsidR="00D35D0D">
        <w:t xml:space="preserve">, 2025). </w:t>
      </w:r>
      <w:r>
        <w:t xml:space="preserve"> </w:t>
      </w:r>
    </w:p>
    <w:p w14:paraId="2520671B" w14:textId="77777777" w:rsidR="007C5F6D" w:rsidRDefault="007C5F6D" w:rsidP="006F3FC5">
      <w:pPr>
        <w:pStyle w:val="BodyText"/>
        <w:spacing w:line="480" w:lineRule="auto"/>
      </w:pPr>
    </w:p>
    <w:p w14:paraId="62844732" w14:textId="77777777" w:rsidR="00D70BA1" w:rsidRPr="00D70BA1" w:rsidRDefault="007C5F6D" w:rsidP="006F3FC5">
      <w:pPr>
        <w:pStyle w:val="BodyText"/>
        <w:spacing w:line="480" w:lineRule="auto"/>
        <w:rPr>
          <w:b/>
          <w:bCs/>
        </w:rPr>
      </w:pPr>
      <w:r w:rsidRPr="00D70BA1">
        <w:rPr>
          <w:b/>
          <w:bCs/>
        </w:rPr>
        <w:t>Data Visualization(Signal Detection &amp; Validation)</w:t>
      </w:r>
    </w:p>
    <w:p w14:paraId="67204448" w14:textId="76B87621" w:rsidR="007C5F6D" w:rsidRDefault="007C5F6D" w:rsidP="006F3FC5">
      <w:pPr>
        <w:pStyle w:val="BodyText"/>
        <w:spacing w:line="480" w:lineRule="auto"/>
      </w:pPr>
      <w:r>
        <w:t>The visualization step focused on turning raw data into clear signals for disengagement and “churn” risk. We utilized several advanced plotting techniques to validate our statistical findings</w:t>
      </w:r>
      <w:r w:rsidR="00D70BA1">
        <w:t>.</w:t>
      </w:r>
    </w:p>
    <w:p w14:paraId="286FEA10" w14:textId="6040A8E5" w:rsidR="007C5F6D" w:rsidRDefault="007C5F6D" w:rsidP="00AE65BD">
      <w:pPr>
        <w:pStyle w:val="ListParagraph"/>
        <w:numPr>
          <w:ilvl w:val="0"/>
          <w:numId w:val="21"/>
        </w:numPr>
        <w:spacing w:line="480" w:lineRule="auto"/>
      </w:pPr>
      <w:r>
        <w:t xml:space="preserve">Density Mapping: We generated KDE heatmaps and </w:t>
      </w:r>
      <w:proofErr w:type="spellStart"/>
      <w:r>
        <w:t>hexbin</w:t>
      </w:r>
      <w:proofErr w:type="spellEnd"/>
      <w:r>
        <w:t xml:space="preserve"> plots of age vs. duration to </w:t>
      </w:r>
      <w:r w:rsidR="00D70BA1">
        <w:t>identify</w:t>
      </w:r>
      <w:r>
        <w:t xml:space="preserve"> a dense “Risk Zone” among middle-aged clients (30-50) with short conversations. </w:t>
      </w:r>
    </w:p>
    <w:p w14:paraId="004DAC44" w14:textId="42C3601C" w:rsidR="007C5F6D" w:rsidRDefault="007C5F6D" w:rsidP="00AE65BD">
      <w:pPr>
        <w:pStyle w:val="ListParagraph"/>
        <w:numPr>
          <w:ilvl w:val="0"/>
          <w:numId w:val="21"/>
        </w:numPr>
        <w:spacing w:line="480" w:lineRule="auto"/>
      </w:pPr>
      <w:r>
        <w:t xml:space="preserve">Distribution Analysis: Normalized bar charts compared subscription outcomes across education levels, while boxplots of call duration by outcome highlighted “soft churn” patterns. </w:t>
      </w:r>
    </w:p>
    <w:p w14:paraId="41EDF985" w14:textId="46C17DD8" w:rsidR="007C5F6D" w:rsidRDefault="007C5F6D" w:rsidP="00AE65BD">
      <w:pPr>
        <w:pStyle w:val="ListParagraph"/>
        <w:numPr>
          <w:ilvl w:val="0"/>
          <w:numId w:val="21"/>
        </w:numPr>
        <w:spacing w:line="480" w:lineRule="auto"/>
      </w:pPr>
      <w:r>
        <w:t xml:space="preserve">Economic Correlation: We utilized KDE plots for macroeconomic indicators (like euribor3m) and a numeric correlation heatmap to visualize how external economic factors influenced customer engagement. </w:t>
      </w:r>
    </w:p>
    <w:p w14:paraId="5CE19029" w14:textId="4990BF0F" w:rsidR="007C5F6D" w:rsidRDefault="007C5F6D" w:rsidP="00AE65BD">
      <w:pPr>
        <w:pStyle w:val="ListParagraph"/>
        <w:numPr>
          <w:ilvl w:val="0"/>
          <w:numId w:val="21"/>
        </w:numPr>
        <w:spacing w:line="480" w:lineRule="auto"/>
      </w:pPr>
      <w:r>
        <w:t xml:space="preserve">Feature Priority: A final feature-importance bar chart was extracted from the Random Forest model to confirm that behavioral attributes, especially contact frequency, were the strongest drivers of churn. </w:t>
      </w:r>
    </w:p>
    <w:p w14:paraId="00362D41" w14:textId="77777777" w:rsidR="007C5F6D" w:rsidRDefault="007C5F6D" w:rsidP="007C5F6D">
      <w:pPr>
        <w:tabs>
          <w:tab w:val="left" w:pos="720"/>
        </w:tabs>
        <w:spacing w:line="480" w:lineRule="auto"/>
        <w:ind w:right="827"/>
        <w:sectPr w:rsidR="007C5F6D" w:rsidSect="007C5F6D">
          <w:pgSz w:w="12240" w:h="15840"/>
          <w:pgMar w:top="1400" w:right="720" w:bottom="280" w:left="1440" w:header="720" w:footer="720" w:gutter="0"/>
          <w:cols w:space="720"/>
        </w:sectPr>
      </w:pPr>
    </w:p>
    <w:p w14:paraId="767B971C" w14:textId="77777777" w:rsidR="007C5F6D" w:rsidRDefault="007C5F6D" w:rsidP="007C5F6D">
      <w:pPr>
        <w:pStyle w:val="Heading1"/>
        <w:spacing w:before="22"/>
      </w:pPr>
      <w:bookmarkStart w:id="3" w:name="_Toc220003089"/>
      <w:r>
        <w:rPr>
          <w:smallCaps/>
          <w:spacing w:val="-2"/>
        </w:rPr>
        <w:lastRenderedPageBreak/>
        <w:t>Results</w:t>
      </w:r>
      <w:bookmarkEnd w:id="3"/>
    </w:p>
    <w:p w14:paraId="7E610222" w14:textId="77777777" w:rsidR="007C5F6D" w:rsidRDefault="007C5F6D" w:rsidP="007C5F6D">
      <w:pPr>
        <w:pStyle w:val="BodyText"/>
        <w:spacing w:before="110"/>
        <w:rPr>
          <w:sz w:val="26"/>
        </w:rPr>
      </w:pPr>
    </w:p>
    <w:p w14:paraId="7448C198" w14:textId="31003D2D" w:rsidR="007C5F6D" w:rsidRDefault="00D35D0D" w:rsidP="006F3FC5">
      <w:pPr>
        <w:pStyle w:val="BodyText"/>
        <w:spacing w:line="480" w:lineRule="auto"/>
      </w:pPr>
      <w:r>
        <w:t xml:space="preserve">The analysis revealed that targeting the top 10% </w:t>
      </w:r>
      <w:r w:rsidR="0027748D">
        <w:t>highest probability</w:t>
      </w:r>
      <w:r>
        <w:t xml:space="preserve"> customers yielded a precision of 49.5%, nearly five times the baseline rate.</w:t>
      </w:r>
    </w:p>
    <w:p w14:paraId="2D327202" w14:textId="633919F8" w:rsidR="007C5F6D" w:rsidRDefault="007C5F6D" w:rsidP="00AE65BD">
      <w:pPr>
        <w:pStyle w:val="ListParagraph"/>
        <w:numPr>
          <w:ilvl w:val="0"/>
          <w:numId w:val="20"/>
        </w:numPr>
        <w:spacing w:line="480" w:lineRule="auto"/>
      </w:pPr>
      <w:r>
        <w:t xml:space="preserve">Model Performance: The Random Forest with SMOTE achieved 89.1% accuracy and a 78.3% ROC-AUC. Targeting the top 10% highest-probability customers yielded a precision of 49.5%. </w:t>
      </w:r>
    </w:p>
    <w:p w14:paraId="21508C5B" w14:textId="4663E71D" w:rsidR="007C5F6D" w:rsidRDefault="007C5F6D" w:rsidP="00AE65BD">
      <w:pPr>
        <w:pStyle w:val="ListParagraph"/>
        <w:numPr>
          <w:ilvl w:val="0"/>
          <w:numId w:val="20"/>
        </w:numPr>
        <w:spacing w:line="480" w:lineRule="auto"/>
      </w:pPr>
      <w:r>
        <w:t xml:space="preserve">Primary Drivers: Feature importance pinpointed call duration as the dominant driver, followed by economic indicators like the Euribor 3-month rate. </w:t>
      </w:r>
    </w:p>
    <w:p w14:paraId="2637C9D3" w14:textId="44AF536B" w:rsidR="007C5F6D" w:rsidRDefault="007C5F6D" w:rsidP="00AE65BD">
      <w:pPr>
        <w:pStyle w:val="ListParagraph"/>
        <w:numPr>
          <w:ilvl w:val="0"/>
          <w:numId w:val="20"/>
        </w:numPr>
        <w:spacing w:line="480" w:lineRule="auto"/>
        <w:sectPr w:rsidR="007C5F6D" w:rsidSect="007C5F6D">
          <w:pgSz w:w="12240" w:h="15840"/>
          <w:pgMar w:top="1420" w:right="720" w:bottom="280" w:left="1440" w:header="720" w:footer="720" w:gutter="0"/>
          <w:cols w:space="720"/>
        </w:sectPr>
      </w:pPr>
      <w:r>
        <w:t xml:space="preserve">The Fatigue Point: Subscription rates drop sharply after 3-4 campaign contacts, marking a threshold for customer fatigue. </w:t>
      </w:r>
    </w:p>
    <w:p w14:paraId="07EA0FFD" w14:textId="726C4589" w:rsidR="00D35D0D" w:rsidRDefault="00D35D0D" w:rsidP="00D35D0D">
      <w:pPr>
        <w:pStyle w:val="Heading1"/>
        <w:spacing w:before="22"/>
        <w:rPr>
          <w:smallCaps/>
          <w:spacing w:val="-2"/>
        </w:rPr>
      </w:pPr>
      <w:bookmarkStart w:id="4" w:name="_Toc220003090"/>
      <w:r w:rsidRPr="00D35D0D">
        <w:rPr>
          <w:smallCaps/>
          <w:spacing w:val="-2"/>
        </w:rPr>
        <w:lastRenderedPageBreak/>
        <w:t>Visualizations</w:t>
      </w:r>
      <w:bookmarkEnd w:id="4"/>
    </w:p>
    <w:p w14:paraId="7F90628A" w14:textId="77777777" w:rsidR="00952290" w:rsidRPr="00952290" w:rsidRDefault="00952290" w:rsidP="00952290"/>
    <w:p w14:paraId="36D1A2E0" w14:textId="7DD4088B" w:rsidR="00D35D0D" w:rsidRDefault="00D35D0D" w:rsidP="003B509A">
      <w:r w:rsidRPr="00D35D0D">
        <w:t xml:space="preserve">Figure 1: </w:t>
      </w:r>
      <w:r w:rsidRPr="00F83AD6">
        <w:t>Data Quality and Engagement Insights Dashboard</w:t>
      </w:r>
    </w:p>
    <w:p w14:paraId="3ECD9F3E" w14:textId="77777777" w:rsidR="00D35D0D" w:rsidRDefault="00D35D0D" w:rsidP="003B509A">
      <w:r>
        <w:rPr>
          <w:noProof/>
        </w:rPr>
        <w:drawing>
          <wp:inline distT="0" distB="0" distL="0" distR="0" wp14:anchorId="2C1BAA3F" wp14:editId="3C5F0C80">
            <wp:extent cx="5962650" cy="2152015"/>
            <wp:effectExtent l="0" t="0" r="0" b="635"/>
            <wp:docPr id="2024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626F2" w14:textId="7FDC74E3" w:rsidR="00D35D0D" w:rsidRDefault="00D35D0D" w:rsidP="00AE65BD">
      <w:pPr>
        <w:pStyle w:val="BodyText"/>
        <w:rPr>
          <w:smallCaps/>
          <w:spacing w:val="2"/>
        </w:rPr>
      </w:pPr>
      <w:r w:rsidRPr="00D35D0D">
        <w:rPr>
          <w:b/>
          <w:bCs/>
        </w:rPr>
        <w:t>Stakeholder Interpretation:</w:t>
      </w:r>
      <w:r>
        <w:rPr>
          <w:smallCaps/>
          <w:spacing w:val="2"/>
        </w:rPr>
        <w:t xml:space="preserve"> </w:t>
      </w:r>
      <w:r w:rsidR="002D00F9">
        <w:t>This</w:t>
      </w:r>
      <w:r w:rsidRPr="00D35D0D">
        <w:t xml:space="preserve"> dashboard </w:t>
      </w:r>
      <w:r>
        <w:t>visualizes</w:t>
      </w:r>
      <w:r w:rsidRPr="00D35D0D">
        <w:t xml:space="preserve"> the baseline 88/12 class imbalance and identifies “soft churn” customers through duration analysis. It allows management to see that disengagement is often visible early in the call cycle.</w:t>
      </w:r>
      <w:r>
        <w:rPr>
          <w:smallCaps/>
          <w:spacing w:val="2"/>
        </w:rPr>
        <w:t xml:space="preserve"> </w:t>
      </w:r>
    </w:p>
    <w:p w14:paraId="4EBC518D" w14:textId="77777777" w:rsidR="00D35D0D" w:rsidRDefault="00D35D0D" w:rsidP="00D35D0D">
      <w:pPr>
        <w:pStyle w:val="Heading1"/>
        <w:spacing w:before="22"/>
        <w:rPr>
          <w:smallCaps/>
          <w:spacing w:val="2"/>
        </w:rPr>
      </w:pPr>
    </w:p>
    <w:p w14:paraId="13C602B9" w14:textId="77777777" w:rsidR="00D35D0D" w:rsidRDefault="00D35D0D" w:rsidP="003B509A">
      <w:pPr>
        <w:rPr>
          <w:smallCaps/>
          <w:spacing w:val="2"/>
        </w:rPr>
      </w:pPr>
      <w:r w:rsidRPr="00D35D0D">
        <w:t>Figure 2: The Engagement “Risk Zone” Heatmap</w:t>
      </w:r>
      <w:r>
        <w:rPr>
          <w:smallCaps/>
          <w:spacing w:val="2"/>
        </w:rPr>
        <w:t xml:space="preserve"> </w:t>
      </w:r>
    </w:p>
    <w:p w14:paraId="26FAC7C1" w14:textId="77777777" w:rsidR="00D35D0D" w:rsidRDefault="00D35D0D" w:rsidP="003B509A">
      <w:pPr>
        <w:rPr>
          <w:smallCaps/>
          <w:spacing w:val="2"/>
        </w:rPr>
      </w:pPr>
      <w:r>
        <w:rPr>
          <w:noProof/>
          <w:sz w:val="20"/>
        </w:rPr>
        <w:drawing>
          <wp:inline distT="0" distB="0" distL="0" distR="0" wp14:anchorId="05886BB2" wp14:editId="36EC99C2">
            <wp:extent cx="5943600" cy="3405718"/>
            <wp:effectExtent l="0" t="0" r="0" b="444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5088" w14:textId="299D5FB7" w:rsidR="002D00F9" w:rsidRDefault="002D00F9" w:rsidP="003B509A">
      <w:r w:rsidRPr="002D00F9">
        <w:t xml:space="preserve">Interpretation: This KDE density plot highlights the </w:t>
      </w:r>
      <w:r>
        <w:t>concentration of likely disengagement.</w:t>
      </w:r>
    </w:p>
    <w:p w14:paraId="0608F717" w14:textId="0EB17F04" w:rsidR="007C5F6D" w:rsidRPr="00D35D0D" w:rsidRDefault="002D00F9" w:rsidP="003B509A">
      <w:pPr>
        <w:rPr>
          <w:smallCaps/>
          <w:spacing w:val="-2"/>
        </w:rPr>
      </w:pPr>
      <w:r w:rsidRPr="002D00F9">
        <w:t>Business Action:</w:t>
      </w:r>
      <w:r>
        <w:t xml:space="preserve"> The dark “Red Zone” identifies customers aged 30-50 with calls under 200 seconds. Representatives should be trained to conclude these low propensity calls quickly to save resources. </w:t>
      </w:r>
      <w:r w:rsidR="007C5F6D">
        <w:rPr>
          <w:smallCaps/>
          <w:spacing w:val="2"/>
        </w:rPr>
        <w:br w:type="page"/>
      </w:r>
    </w:p>
    <w:p w14:paraId="50914E73" w14:textId="4FB9C5C4" w:rsidR="007C5F6D" w:rsidRDefault="004F30CC" w:rsidP="002D00F9">
      <w:pPr>
        <w:pStyle w:val="Heading1"/>
        <w:rPr>
          <w:smallCaps/>
          <w:spacing w:val="2"/>
        </w:rPr>
      </w:pPr>
      <w:bookmarkStart w:id="5" w:name="_Toc220003091"/>
      <w:r>
        <w:rPr>
          <w:smallCaps/>
          <w:spacing w:val="2"/>
        </w:rPr>
        <w:lastRenderedPageBreak/>
        <w:t xml:space="preserve">Recommendations and </w:t>
      </w:r>
      <w:r w:rsidR="002D00F9">
        <w:rPr>
          <w:smallCaps/>
          <w:spacing w:val="2"/>
        </w:rPr>
        <w:t>Ethical Considerations</w:t>
      </w:r>
      <w:bookmarkEnd w:id="5"/>
    </w:p>
    <w:p w14:paraId="28A289A3" w14:textId="77777777" w:rsidR="002D00F9" w:rsidRDefault="002D00F9" w:rsidP="002D00F9"/>
    <w:p w14:paraId="1DFD45BA" w14:textId="77777777" w:rsidR="002D00F9" w:rsidRDefault="002D00F9" w:rsidP="002D00F9"/>
    <w:p w14:paraId="5E0A8859" w14:textId="77777777" w:rsidR="002D00F9" w:rsidRDefault="002D00F9" w:rsidP="000158AC">
      <w:pPr>
        <w:pStyle w:val="ListParagraph"/>
        <w:ind w:left="0"/>
      </w:pPr>
      <w:r w:rsidRPr="002D00F9">
        <w:rPr>
          <w:b/>
          <w:bCs/>
        </w:rPr>
        <w:t xml:space="preserve">Target Outreach: </w:t>
      </w:r>
      <w:r>
        <w:t>Prioritize the top 10% of customers ranked by the Random Forest model to maximize conversion precision.</w:t>
      </w:r>
    </w:p>
    <w:p w14:paraId="6AF0A6D4" w14:textId="77777777" w:rsidR="002D00F9" w:rsidRDefault="002D00F9" w:rsidP="000158AC">
      <w:pPr>
        <w:pStyle w:val="ListParagraph"/>
        <w:ind w:left="0"/>
      </w:pPr>
    </w:p>
    <w:p w14:paraId="7FA7709C" w14:textId="2998CF26" w:rsidR="002D00F9" w:rsidRDefault="002D00F9" w:rsidP="000158AC">
      <w:pPr>
        <w:pStyle w:val="ListParagraph"/>
        <w:ind w:left="0"/>
      </w:pPr>
      <w:r w:rsidRPr="002D00F9">
        <w:rPr>
          <w:b/>
          <w:bCs/>
        </w:rPr>
        <w:t xml:space="preserve">Contact Limits: </w:t>
      </w:r>
      <w:r>
        <w:t xml:space="preserve">Limit campaign contacts to a maximum of 3 per customer, as subscription rates drop sharply beyond this threshold. </w:t>
      </w:r>
    </w:p>
    <w:p w14:paraId="4290585E" w14:textId="77777777" w:rsidR="002D00F9" w:rsidRDefault="002D00F9" w:rsidP="000158AC">
      <w:pPr>
        <w:pStyle w:val="ListParagraph"/>
        <w:ind w:left="0"/>
      </w:pPr>
    </w:p>
    <w:p w14:paraId="1CBFC43B" w14:textId="79771A78" w:rsidR="002D00F9" w:rsidRDefault="002D00F9" w:rsidP="000158AC">
      <w:pPr>
        <w:pStyle w:val="ListParagraph"/>
        <w:ind w:left="0"/>
      </w:pPr>
      <w:r w:rsidRPr="002D00F9">
        <w:rPr>
          <w:b/>
          <w:bCs/>
        </w:rPr>
        <w:t xml:space="preserve">Economic Strategy: </w:t>
      </w:r>
      <w:r>
        <w:t xml:space="preserve">Monitor indicators </w:t>
      </w:r>
      <w:r w:rsidR="003B509A">
        <w:t>like ‘</w:t>
      </w:r>
      <w:r>
        <w:t xml:space="preserve">euribor3m’ and pause outreach during unfavorable economic conditions. </w:t>
      </w:r>
    </w:p>
    <w:p w14:paraId="08A98C77" w14:textId="77777777" w:rsidR="002D00F9" w:rsidRDefault="002D00F9" w:rsidP="000158AC">
      <w:pPr>
        <w:pStyle w:val="ListParagraph"/>
        <w:ind w:left="0"/>
      </w:pPr>
    </w:p>
    <w:p w14:paraId="2AB8BCE0" w14:textId="29249727" w:rsidR="002D00F9" w:rsidRPr="002D00F9" w:rsidRDefault="002D00F9" w:rsidP="000158AC">
      <w:pPr>
        <w:pStyle w:val="ListParagraph"/>
        <w:ind w:left="0"/>
        <w:sectPr w:rsidR="002D00F9" w:rsidRPr="002D00F9" w:rsidSect="007C5F6D">
          <w:pgSz w:w="12240" w:h="15840"/>
          <w:pgMar w:top="1480" w:right="720" w:bottom="280" w:left="1440" w:header="720" w:footer="720" w:gutter="0"/>
          <w:cols w:space="720"/>
        </w:sectPr>
      </w:pPr>
      <w:r w:rsidRPr="002D00F9">
        <w:rPr>
          <w:b/>
          <w:bCs/>
        </w:rPr>
        <w:t>Ethical Standards:</w:t>
      </w:r>
      <w:r>
        <w:t xml:space="preserve"> Adhere to GDPR by utilizing only anonymized data and providing clear opt-out mechanisms.</w:t>
      </w:r>
    </w:p>
    <w:p w14:paraId="1E697551" w14:textId="77777777" w:rsidR="007C5F6D" w:rsidRDefault="007C5F6D" w:rsidP="007C5F6D">
      <w:pPr>
        <w:pStyle w:val="Heading1"/>
      </w:pPr>
      <w:bookmarkStart w:id="6" w:name="_Toc220003092"/>
      <w:r>
        <w:rPr>
          <w:smallCaps/>
          <w:spacing w:val="-2"/>
        </w:rPr>
        <w:lastRenderedPageBreak/>
        <w:t>Conclusion</w:t>
      </w:r>
      <w:bookmarkEnd w:id="6"/>
    </w:p>
    <w:p w14:paraId="4EC668D6" w14:textId="77777777" w:rsidR="007C5F6D" w:rsidRDefault="007C5F6D" w:rsidP="007C5F6D">
      <w:pPr>
        <w:pStyle w:val="BodyText"/>
        <w:spacing w:before="112"/>
        <w:rPr>
          <w:sz w:val="26"/>
        </w:rPr>
      </w:pPr>
    </w:p>
    <w:p w14:paraId="2CB0AD5D" w14:textId="030D60E0" w:rsidR="007C5F6D" w:rsidRPr="003B509A" w:rsidRDefault="002D00F9" w:rsidP="006F3FC5">
      <w:pPr>
        <w:pStyle w:val="BodyText"/>
        <w:spacing w:line="480" w:lineRule="auto"/>
      </w:pPr>
      <w:r w:rsidRPr="003B509A">
        <w:t xml:space="preserve">This project successfully transformed the Bank Marketing dataset from a telemarketing conversion challenge into a comprehensive customer engagement and churn prevention framework. By leveraging an optimized Random Forest classifier, we </w:t>
      </w:r>
      <w:r w:rsidR="009F2719" w:rsidRPr="003B509A">
        <w:t>achieved</w:t>
      </w:r>
      <w:r w:rsidRPr="003B509A">
        <w:t xml:space="preserve"> a high-performance benchmark of 89.1% model accuracy. More importantly for the bank’s </w:t>
      </w:r>
      <w:r w:rsidR="009F2719" w:rsidRPr="003B509A">
        <w:t>bottom</w:t>
      </w:r>
      <w:r w:rsidRPr="003B509A">
        <w:t xml:space="preserve"> line, the model reached 49.5% precision when targeting the top 10% highest-probability customers –surpassing the baseline 11% subscription rate by nearly five-fold. This shift from “volume-based” to a “value-based” strategy directly addresses the operational inefficiencies identified at the project’s outset. </w:t>
      </w:r>
    </w:p>
    <w:p w14:paraId="27022068" w14:textId="6C721387" w:rsidR="002D00F9" w:rsidRPr="003B509A" w:rsidRDefault="002D00F9" w:rsidP="006F3FC5">
      <w:pPr>
        <w:pStyle w:val="BodyText"/>
        <w:spacing w:line="480" w:lineRule="auto"/>
      </w:pPr>
      <w:r w:rsidRPr="003B509A">
        <w:t xml:space="preserve">Key discoveries from our visual and predictive analytics revealed that low call duration (under 200 seconds) among middle-aged clients (ages 30-50) constitutes the primary “risk zone” for disengagement. This “soft churn” is further amplified by unfavorable economic conditions, specifically high ‘euribor3m’ interest rates, which </w:t>
      </w:r>
      <w:r w:rsidR="009F2719" w:rsidRPr="003B509A">
        <w:t>serve</w:t>
      </w:r>
      <w:r w:rsidRPr="003B509A">
        <w:t xml:space="preserve"> as a critical external trigger for customer withdrawal. Furthermore, our analysis established a clear “fatigue threshold,” showing that subscription rates plummet after just three campaign contacts. </w:t>
      </w:r>
    </w:p>
    <w:p w14:paraId="10F7978A" w14:textId="32723B66" w:rsidR="009F2719" w:rsidRPr="003B509A" w:rsidRDefault="002D00F9" w:rsidP="006F3FC5">
      <w:pPr>
        <w:pStyle w:val="BodyText"/>
        <w:spacing w:line="480" w:lineRule="auto"/>
      </w:pPr>
      <w:r w:rsidRPr="003B509A">
        <w:t>By shifting from inefficient mass calling to targeted outreach that prioritizes high-propensity profiles during optimal outreach months</w:t>
      </w:r>
      <w:r w:rsidR="009F2719" w:rsidRPr="003B509A">
        <w:t xml:space="preserve">, the bank can dramatically improve ROI. This strategy is not only more profitable but more sustainable; it respects ethical boundaries through transparent modeling, robust consent protocols, and strict contact limits that prevent customer fatigue. The integrated data wrangling pipeline, the multi-panel visualization dashboard, and the predictive analytics framework provide a scalable, end-to-end plan for data-driven customer experience, ensuring that the bank remains competitive in a volatile economic landscape. </w:t>
      </w:r>
    </w:p>
    <w:p w14:paraId="635D87DA" w14:textId="77777777" w:rsidR="009F2719" w:rsidRDefault="009F2719">
      <w:pPr>
        <w:widowControl/>
        <w:autoSpaceDE/>
        <w:autoSpaceDN/>
        <w:spacing w:after="160" w:line="278" w:lineRule="auto"/>
      </w:pPr>
      <w:r>
        <w:br w:type="page"/>
      </w:r>
    </w:p>
    <w:p w14:paraId="2FCB8311" w14:textId="1B134CC6" w:rsidR="009F2719" w:rsidRDefault="00952290" w:rsidP="009F2719">
      <w:pPr>
        <w:pStyle w:val="Heading1"/>
        <w:rPr>
          <w:smallCaps/>
          <w:spacing w:val="-2"/>
        </w:rPr>
      </w:pPr>
      <w:bookmarkStart w:id="7" w:name="_Toc220003093"/>
      <w:r>
        <w:rPr>
          <w:smallCaps/>
          <w:spacing w:val="-2"/>
        </w:rPr>
        <w:lastRenderedPageBreak/>
        <w:t>Appendix</w:t>
      </w:r>
      <w:bookmarkEnd w:id="7"/>
    </w:p>
    <w:p w14:paraId="31D5C47C" w14:textId="77777777" w:rsidR="00243CDA" w:rsidRPr="00243CDA" w:rsidRDefault="00243CDA" w:rsidP="00243CDA"/>
    <w:p w14:paraId="47A959F9" w14:textId="77777777" w:rsidR="00A35BA9" w:rsidRDefault="00A35BA9" w:rsidP="00243CDA">
      <w:pPr>
        <w:rPr>
          <w:b/>
          <w:bCs/>
        </w:rPr>
      </w:pPr>
      <w:r w:rsidRPr="00243CDA">
        <w:rPr>
          <w:b/>
          <w:bCs/>
        </w:rPr>
        <w:t>Part A: Discovery Questions (Investigation Questions)</w:t>
      </w:r>
    </w:p>
    <w:p w14:paraId="63B42982" w14:textId="77777777" w:rsidR="000158AC" w:rsidRPr="00243CDA" w:rsidRDefault="000158AC" w:rsidP="00243CDA">
      <w:pPr>
        <w:rPr>
          <w:b/>
          <w:bCs/>
        </w:rPr>
      </w:pPr>
    </w:p>
    <w:p w14:paraId="4DE51E24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Which job categories and education levels show the highest engagement?</w:t>
      </w:r>
    </w:p>
    <w:p w14:paraId="30756D0E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How does customer age interact with material status regarding disengagement?</w:t>
      </w:r>
    </w:p>
    <w:p w14:paraId="2C6DCACA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What call duration threshold reliably separates “risk” from engagement?</w:t>
      </w:r>
    </w:p>
    <w:p w14:paraId="37E0B92F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After how many campaign contacts does ROI turn negative?</w:t>
      </w:r>
    </w:p>
    <w:p w14:paraId="2482211C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Do previously contacted customers convert at significantly higher rates?</w:t>
      </w:r>
    </w:p>
    <w:p w14:paraId="0B3192A7" w14:textId="77777777" w:rsidR="00A35BA9" w:rsidRPr="000158AC" w:rsidRDefault="00A35BA9" w:rsidP="000158AC">
      <w:pPr>
        <w:pStyle w:val="ListParagraph"/>
        <w:numPr>
          <w:ilvl w:val="0"/>
          <w:numId w:val="25"/>
        </w:numPr>
        <w:spacing w:line="480" w:lineRule="auto"/>
      </w:pPr>
      <w:r w:rsidRPr="000158AC">
        <w:t>How do macroeconomic indicators like euribor3m impact engagement?</w:t>
      </w:r>
    </w:p>
    <w:p w14:paraId="1016C074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Which economic conditions amplify churn risk across different segments?</w:t>
      </w:r>
    </w:p>
    <w:p w14:paraId="1E06FACE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What precision is achieved by targeting only the top 10% of customers?</w:t>
      </w:r>
    </w:p>
    <w:p w14:paraId="6FD9CC92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 xml:space="preserve">How </w:t>
      </w:r>
      <w:proofErr w:type="gramStart"/>
      <w:r w:rsidRPr="000158AC">
        <w:t>does</w:t>
      </w:r>
      <w:proofErr w:type="gramEnd"/>
      <w:r w:rsidRPr="000158AC">
        <w:t xml:space="preserve"> feature importance ranking align with business intuition?</w:t>
      </w:r>
    </w:p>
    <w:p w14:paraId="534BB971" w14:textId="77777777" w:rsidR="00A35BA9" w:rsidRPr="000158AC" w:rsidRDefault="00A35BA9" w:rsidP="00AE65BD">
      <w:pPr>
        <w:pStyle w:val="ListParagraph"/>
        <w:numPr>
          <w:ilvl w:val="0"/>
          <w:numId w:val="25"/>
        </w:numPr>
        <w:spacing w:line="480" w:lineRule="auto"/>
      </w:pPr>
      <w:r w:rsidRPr="000158AC">
        <w:t>During which months should the bank concentrate telemarketing efforts?</w:t>
      </w:r>
    </w:p>
    <w:p w14:paraId="654AED78" w14:textId="77777777" w:rsidR="00F23FD5" w:rsidRPr="00A35BA9" w:rsidRDefault="00F23FD5" w:rsidP="00F23FD5">
      <w:pPr>
        <w:pStyle w:val="BodyText"/>
        <w:ind w:left="720"/>
        <w:rPr>
          <w:b/>
          <w:bCs/>
        </w:rPr>
      </w:pPr>
    </w:p>
    <w:p w14:paraId="37255943" w14:textId="77777777" w:rsidR="00A35BA9" w:rsidRPr="00AE65BD" w:rsidRDefault="00A35BA9" w:rsidP="00F23FD5">
      <w:pPr>
        <w:pStyle w:val="BodyText"/>
        <w:rPr>
          <w:b/>
          <w:bCs/>
        </w:rPr>
      </w:pPr>
      <w:r w:rsidRPr="00AE65BD">
        <w:rPr>
          <w:b/>
          <w:bCs/>
        </w:rPr>
        <w:t>Part B: Stakeholder Q&amp;A (Presentation Deliverable)</w:t>
      </w:r>
    </w:p>
    <w:p w14:paraId="35516346" w14:textId="77777777" w:rsidR="00F23FD5" w:rsidRDefault="00F23FD5" w:rsidP="00F23FD5">
      <w:pPr>
        <w:pStyle w:val="BodyText"/>
      </w:pPr>
    </w:p>
    <w:p w14:paraId="2322D60F" w14:textId="77777777" w:rsidR="00A35BA9" w:rsidRPr="00A35BA9" w:rsidRDefault="00A35BA9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Was the objective of this project achieved? Answer: Yes. We successfully reframed the original subscription prediction task into a comprehensive propensity-to-engage framework. By achieving 89.1% accuracy, we proved that machine learning can identify the specific behavioral and economic markers that lead to customer disengagement. </w:t>
      </w:r>
    </w:p>
    <w:p w14:paraId="7F3B4451" w14:textId="77777777" w:rsidR="00A35BA9" w:rsidRPr="00A35BA9" w:rsidRDefault="00A35BA9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Are the results strong enough for practical implementation? </w:t>
      </w:r>
      <w:r w:rsidRPr="00A35BA9">
        <w:t>Answer</w:t>
      </w:r>
      <w:r>
        <w:t xml:space="preserve">: Absolutely, but with a “human-in-the-loop” approach. Our model provides a 49.5% precision rate when targeting the top decile of customers. We recommend using this as a decision-support tool to prioritize daily call lists. </w:t>
      </w:r>
    </w:p>
    <w:p w14:paraId="7A8C47E6" w14:textId="77777777" w:rsidR="001443A1" w:rsidRPr="001443A1" w:rsidRDefault="00A35BA9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Why was “Call Duration” excluded from the final predictive model? </w:t>
      </w:r>
      <w:r w:rsidRPr="00A35BA9">
        <w:t>Answer:</w:t>
      </w:r>
      <w:r>
        <w:t xml:space="preserve"> This was a critical step to ensure model integrity. </w:t>
      </w:r>
      <w:r w:rsidR="001443A1">
        <w:t xml:space="preserve">Call duration is only known after a conversation ends. Including it would create target leakage, giving us high accuracy on paper that would fail in the real world. </w:t>
      </w:r>
    </w:p>
    <w:p w14:paraId="1175EA45" w14:textId="77777777" w:rsidR="001443A1" w:rsidRP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Does customer engagement depend more on demographics or behavior? </w:t>
      </w:r>
      <w:r w:rsidRPr="001443A1">
        <w:t>Answer:</w:t>
      </w:r>
      <w:r>
        <w:t xml:space="preserve"> Our findings indicate that behavior and macroeconomics are the dominant drivers. While age and job provide some context, </w:t>
      </w:r>
      <w:r>
        <w:lastRenderedPageBreak/>
        <w:t>the “</w:t>
      </w:r>
      <w:proofErr w:type="spellStart"/>
      <w:r>
        <w:t>pdays</w:t>
      </w:r>
      <w:proofErr w:type="spellEnd"/>
      <w:r>
        <w:t xml:space="preserve">” (previous contact history) and current euribor3m (interest rates) were much stronger predictors of the “soft churn” phase. </w:t>
      </w:r>
    </w:p>
    <w:p w14:paraId="616EC1EB" w14:textId="77777777" w:rsidR="001443A1" w:rsidRP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Which model performed best, and why? </w:t>
      </w:r>
      <w:r w:rsidRPr="001443A1">
        <w:t>Answer:</w:t>
      </w:r>
      <w:r>
        <w:t xml:space="preserve"> The Random Forest Classifier was the superior performer. Unlike linear models, it was able to capture the complex, non-linear “Risk-Zone” we identified –specifically how middle-aged demographics interact with specific economic thresholds. </w:t>
      </w:r>
    </w:p>
    <w:p w14:paraId="1F57D3A1" w14:textId="77777777" w:rsidR="001443A1" w:rsidRP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How exactly does this model reduce our marketing operation costs? </w:t>
      </w:r>
      <w:r w:rsidRPr="001443A1">
        <w:t>Answer:</w:t>
      </w:r>
      <w:r>
        <w:t xml:space="preserve"> </w:t>
      </w:r>
      <w:r w:rsidRPr="001443A1">
        <w:t xml:space="preserve">Currently, the bank suffers from an 88% “No” rate. By targeting the top 10% propensity leads, you can capture nearly 50% of all potential “Yes” responses while eliminating 90% of the unsuccessful calls, saving hundreds of </w:t>
      </w:r>
      <w:r>
        <w:t>man-hours</w:t>
      </w:r>
      <w:r w:rsidRPr="001443A1">
        <w:t>.</w:t>
      </w:r>
      <w:r>
        <w:t xml:space="preserve"> </w:t>
      </w:r>
    </w:p>
    <w:p w14:paraId="358CD934" w14:textId="77777777" w:rsid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What is the “Risk Zone” identified in your visualization, and how do we use it? </w:t>
      </w:r>
      <w:r w:rsidRPr="001443A1">
        <w:t>Answer:</w:t>
      </w:r>
      <w:r>
        <w:t xml:space="preserve"> </w:t>
      </w:r>
      <w:r w:rsidRPr="001443A1">
        <w:t xml:space="preserve">The “Risk Zone” is </w:t>
      </w:r>
      <w:r>
        <w:t xml:space="preserve">a </w:t>
      </w:r>
      <w:r w:rsidRPr="001443A1">
        <w:t>concentration of disengagement among customers aged 30 -50 whose calls last under 200 seconds.</w:t>
      </w:r>
    </w:p>
    <w:p w14:paraId="0206182D" w14:textId="77777777" w:rsid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How do we handle significant changes in economic conditions? Answer: Because our model identifies interest rates (euribor3m) as a top predictor, we recommended a quarterly retaining schedule. If interest rates shift significantly, the model should be “refreshed” with the latest 90 days of data. </w:t>
      </w:r>
    </w:p>
    <w:p w14:paraId="19CE30E7" w14:textId="77777777" w:rsid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How did we address the fact that 88% of the data is “No” responses? Answer: We used SMOTE (Synthetic Minority Over-sampling Technique). This allowed the model to “learn” the rare characteristics of the 11% who say “Yes” without being overwhelmed by the majority who say “No”. </w:t>
      </w:r>
    </w:p>
    <w:p w14:paraId="15D54985" w14:textId="00C16233" w:rsidR="009F2719" w:rsidRPr="001443A1" w:rsidRDefault="001443A1" w:rsidP="00AE65BD">
      <w:pPr>
        <w:pStyle w:val="ListParagraph"/>
        <w:numPr>
          <w:ilvl w:val="0"/>
          <w:numId w:val="24"/>
        </w:numPr>
        <w:spacing w:line="480" w:lineRule="auto"/>
      </w:pPr>
      <w:r>
        <w:t xml:space="preserve">What ethical safeguards are in place for this targeted outreach? Answer: We prioritize transparency and consent. The model does not use sensitive personal data that could lead to discriminatory lending. Furthermore, by implementing a 3-contact limit, we prevent customer harassment. </w:t>
      </w:r>
      <w:r w:rsidR="009F2719" w:rsidRPr="001443A1">
        <w:br w:type="page"/>
      </w:r>
    </w:p>
    <w:p w14:paraId="0901BD54" w14:textId="77777777" w:rsidR="007C5F6D" w:rsidRDefault="007C5F6D" w:rsidP="009F2719">
      <w:pPr>
        <w:pStyle w:val="BodyText"/>
        <w:spacing w:line="480" w:lineRule="auto"/>
        <w:ind w:right="742"/>
        <w:sectPr w:rsidR="007C5F6D" w:rsidSect="007C5F6D">
          <w:pgSz w:w="12240" w:h="15840"/>
          <w:pgMar w:top="1400" w:right="720" w:bottom="280" w:left="1440" w:header="720" w:footer="720" w:gutter="0"/>
          <w:cols w:space="720"/>
        </w:sectPr>
      </w:pPr>
    </w:p>
    <w:p w14:paraId="057D38F1" w14:textId="77777777" w:rsidR="007C5F6D" w:rsidRDefault="007C5F6D" w:rsidP="007C5F6D">
      <w:pPr>
        <w:pStyle w:val="Heading1"/>
        <w:spacing w:before="20"/>
      </w:pPr>
      <w:bookmarkStart w:id="8" w:name="_Toc220003094"/>
      <w:r>
        <w:rPr>
          <w:smallCaps/>
          <w:spacing w:val="-2"/>
        </w:rPr>
        <w:lastRenderedPageBreak/>
        <w:t>References</w:t>
      </w:r>
      <w:bookmarkEnd w:id="8"/>
    </w:p>
    <w:p w14:paraId="2FFE24AF" w14:textId="77777777" w:rsidR="007C5F6D" w:rsidRDefault="007C5F6D" w:rsidP="007C5F6D">
      <w:pPr>
        <w:pStyle w:val="BodyText"/>
        <w:spacing w:before="112"/>
        <w:rPr>
          <w:sz w:val="26"/>
        </w:rPr>
      </w:pPr>
    </w:p>
    <w:p w14:paraId="43D20AB7" w14:textId="77777777" w:rsidR="007C5F6D" w:rsidRDefault="007C5F6D" w:rsidP="000158AC">
      <w:pPr>
        <w:pStyle w:val="ListParagraph"/>
        <w:spacing w:line="480" w:lineRule="auto"/>
        <w:ind w:hanging="720"/>
      </w:pPr>
      <w:r>
        <w:t>Akins, A. (2024, March 12). Using data and analytics to improve marketing effectiveness. ABA Banking</w:t>
      </w:r>
      <w:r>
        <w:rPr>
          <w:spacing w:val="-13"/>
        </w:rPr>
        <w:t xml:space="preserve"> </w:t>
      </w:r>
      <w:r>
        <w:t>Journal.</w:t>
      </w:r>
      <w:r>
        <w:rPr>
          <w:spacing w:val="-12"/>
        </w:rPr>
        <w:t xml:space="preserve"> </w:t>
      </w:r>
      <w:hyperlink r:id="rId16">
        <w:r>
          <w:rPr>
            <w:color w:val="0562C1"/>
            <w:u w:val="single" w:color="0562C1"/>
          </w:rPr>
          <w:t>https://bankingjournal.aba.com/2024/03/using-data-and-analytics-to-improve-</w:t>
        </w:r>
      </w:hyperlink>
    </w:p>
    <w:p w14:paraId="6BF1F0B6" w14:textId="77777777" w:rsidR="007C5F6D" w:rsidRDefault="007C5F6D" w:rsidP="000158AC">
      <w:pPr>
        <w:pStyle w:val="ListParagraph"/>
        <w:spacing w:line="480" w:lineRule="auto"/>
        <w:ind w:hanging="720"/>
      </w:pPr>
      <w:r>
        <w:rPr>
          <w:color w:val="0562C1"/>
          <w:spacing w:val="-2"/>
          <w:u w:val="single" w:color="0562C1"/>
        </w:rPr>
        <w:t>marketing-effectiveness/</w:t>
      </w:r>
    </w:p>
    <w:p w14:paraId="3BAC54FA" w14:textId="77777777" w:rsidR="007C5F6D" w:rsidRDefault="007C5F6D" w:rsidP="000158AC">
      <w:pPr>
        <w:pStyle w:val="ListParagraph"/>
        <w:spacing w:line="480" w:lineRule="auto"/>
        <w:ind w:hanging="720"/>
      </w:pPr>
      <w:proofErr w:type="spellStart"/>
      <w:r>
        <w:t>Geeksforgeeks</w:t>
      </w:r>
      <w:proofErr w:type="spellEnd"/>
      <w:r>
        <w:t xml:space="preserve">. (2025, October 29). Evaluation Metrics in Machine Learning. </w:t>
      </w:r>
      <w:hyperlink r:id="rId17">
        <w:r>
          <w:rPr>
            <w:color w:val="0562C1"/>
            <w:spacing w:val="-2"/>
            <w:u w:val="single" w:color="0562C1"/>
          </w:rPr>
          <w:t>https://www.geeksforgeeks.org/machine-learning/metrics-for-machine-learning-model/</w:t>
        </w:r>
      </w:hyperlink>
    </w:p>
    <w:p w14:paraId="5D44D329" w14:textId="77777777" w:rsidR="007C5F6D" w:rsidRDefault="007C5F6D" w:rsidP="000158AC">
      <w:pPr>
        <w:pStyle w:val="ListParagraph"/>
        <w:spacing w:line="480" w:lineRule="auto"/>
        <w:ind w:hanging="720"/>
      </w:pPr>
      <w:r>
        <w:t>McKinney,</w:t>
      </w:r>
      <w:r>
        <w:rPr>
          <w:spacing w:val="-5"/>
        </w:rPr>
        <w:t xml:space="preserve"> </w:t>
      </w:r>
      <w:r>
        <w:t>W.</w:t>
      </w:r>
      <w:r>
        <w:rPr>
          <w:spacing w:val="-3"/>
        </w:rPr>
        <w:t xml:space="preserve"> </w:t>
      </w:r>
      <w:r>
        <w:t>(2022).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Analysis: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Wrangling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and Jupyter (3rd ed.). O’Reilly.</w:t>
      </w:r>
    </w:p>
    <w:p w14:paraId="750F5E4A" w14:textId="254EF382" w:rsidR="006D703F" w:rsidRDefault="007C5F6D" w:rsidP="000158AC">
      <w:pPr>
        <w:pStyle w:val="ListParagraph"/>
        <w:spacing w:line="480" w:lineRule="auto"/>
        <w:ind w:hanging="720"/>
      </w:pPr>
      <w:r>
        <w:t>Moro,</w:t>
      </w:r>
      <w:r>
        <w:rPr>
          <w:spacing w:val="-2"/>
        </w:rPr>
        <w:t xml:space="preserve"> </w:t>
      </w:r>
      <w:r>
        <w:t>S.,</w:t>
      </w:r>
      <w:r>
        <w:rPr>
          <w:spacing w:val="-6"/>
        </w:rPr>
        <w:t xml:space="preserve"> </w:t>
      </w:r>
      <w:r>
        <w:t>Rita,</w:t>
      </w:r>
      <w:r>
        <w:rPr>
          <w:spacing w:val="-4"/>
        </w:rPr>
        <w:t xml:space="preserve"> </w:t>
      </w:r>
      <w:r>
        <w:t>P.,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Cortez,</w:t>
      </w:r>
      <w:r>
        <w:rPr>
          <w:spacing w:val="-4"/>
        </w:rPr>
        <w:t xml:space="preserve"> </w:t>
      </w:r>
      <w:r>
        <w:t>P.</w:t>
      </w:r>
      <w:r>
        <w:rPr>
          <w:spacing w:val="-1"/>
        </w:rPr>
        <w:t xml:space="preserve"> </w:t>
      </w:r>
      <w:r>
        <w:t>(2014).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[Dataset].</w:t>
      </w:r>
      <w:r>
        <w:rPr>
          <w:spacing w:val="-2"/>
        </w:rPr>
        <w:t xml:space="preserve"> </w:t>
      </w:r>
      <w:r>
        <w:t>UCI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 xml:space="preserve">Learning Repository. </w:t>
      </w:r>
      <w:hyperlink r:id="rId18">
        <w:r>
          <w:rPr>
            <w:color w:val="0562C1"/>
            <w:u w:val="single" w:color="0562C1"/>
          </w:rPr>
          <w:t>https://doi.org/10.24432/C5K306</w:t>
        </w:r>
      </w:hyperlink>
    </w:p>
    <w:sectPr w:rsidR="006D703F" w:rsidSect="007C5F6D">
      <w:pgSz w:w="12240" w:h="15840"/>
      <w:pgMar w:top="1420" w:right="72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31088" w14:textId="77777777" w:rsidR="009E35D3" w:rsidRDefault="009E35D3" w:rsidP="002D00F9">
      <w:r>
        <w:separator/>
      </w:r>
    </w:p>
  </w:endnote>
  <w:endnote w:type="continuationSeparator" w:id="0">
    <w:p w14:paraId="68C87DAD" w14:textId="77777777" w:rsidR="009E35D3" w:rsidRDefault="009E35D3" w:rsidP="002D0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635D" w14:textId="77777777" w:rsidR="009E35D3" w:rsidRDefault="009E35D3" w:rsidP="002D00F9">
      <w:r>
        <w:separator/>
      </w:r>
    </w:p>
  </w:footnote>
  <w:footnote w:type="continuationSeparator" w:id="0">
    <w:p w14:paraId="35AC54DA" w14:textId="77777777" w:rsidR="009E35D3" w:rsidRDefault="009E35D3" w:rsidP="002D0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3088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71541E" w14:textId="530A23EF" w:rsidR="002D00F9" w:rsidRDefault="002D00F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5453E" w14:textId="77777777" w:rsidR="002D00F9" w:rsidRDefault="002D00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7916"/>
    <w:multiLevelType w:val="hybridMultilevel"/>
    <w:tmpl w:val="150E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50DD5"/>
    <w:multiLevelType w:val="hybridMultilevel"/>
    <w:tmpl w:val="D2C8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6CA7"/>
    <w:multiLevelType w:val="hybridMultilevel"/>
    <w:tmpl w:val="B4243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61C58"/>
    <w:multiLevelType w:val="hybridMultilevel"/>
    <w:tmpl w:val="5380B8F8"/>
    <w:lvl w:ilvl="0" w:tplc="313295B2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303D"/>
    <w:multiLevelType w:val="hybridMultilevel"/>
    <w:tmpl w:val="99F4C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937BF"/>
    <w:multiLevelType w:val="hybridMultilevel"/>
    <w:tmpl w:val="B3C65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61F9A"/>
    <w:multiLevelType w:val="hybridMultilevel"/>
    <w:tmpl w:val="25242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6"/>
        <w:szCs w:val="1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1D05AF"/>
    <w:multiLevelType w:val="hybridMultilevel"/>
    <w:tmpl w:val="4EEAC4F0"/>
    <w:lvl w:ilvl="0" w:tplc="DC08B32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B497F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A42A57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6AE127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326A9CF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740E8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E40675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3A04CD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57EA31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02860FE"/>
    <w:multiLevelType w:val="hybridMultilevel"/>
    <w:tmpl w:val="9BC2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D261E"/>
    <w:multiLevelType w:val="hybridMultilevel"/>
    <w:tmpl w:val="1ABE5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33E42"/>
    <w:multiLevelType w:val="hybridMultilevel"/>
    <w:tmpl w:val="91BA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86FB5"/>
    <w:multiLevelType w:val="hybridMultilevel"/>
    <w:tmpl w:val="A4E0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A7309"/>
    <w:multiLevelType w:val="hybridMultilevel"/>
    <w:tmpl w:val="D9CC1D58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3" w15:restartNumberingAfterBreak="0">
    <w:nsid w:val="2EE83800"/>
    <w:multiLevelType w:val="hybridMultilevel"/>
    <w:tmpl w:val="379AA0CC"/>
    <w:lvl w:ilvl="0" w:tplc="F46425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EA6760"/>
    <w:multiLevelType w:val="hybridMultilevel"/>
    <w:tmpl w:val="27429714"/>
    <w:lvl w:ilvl="0" w:tplc="F4642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50C0E"/>
    <w:multiLevelType w:val="hybridMultilevel"/>
    <w:tmpl w:val="8BC225EE"/>
    <w:lvl w:ilvl="0" w:tplc="8B0816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02F93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3C4B13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30E71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BC49F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AE82418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77A0C7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23CA0D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7DCA2D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784FBC"/>
    <w:multiLevelType w:val="hybridMultilevel"/>
    <w:tmpl w:val="432ECE6E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7" w15:restartNumberingAfterBreak="0">
    <w:nsid w:val="470A7D16"/>
    <w:multiLevelType w:val="hybridMultilevel"/>
    <w:tmpl w:val="34586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A72CC"/>
    <w:multiLevelType w:val="hybridMultilevel"/>
    <w:tmpl w:val="761A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86DF6"/>
    <w:multiLevelType w:val="hybridMultilevel"/>
    <w:tmpl w:val="0E58BFEA"/>
    <w:lvl w:ilvl="0" w:tplc="7E46AE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1323F7"/>
    <w:multiLevelType w:val="hybridMultilevel"/>
    <w:tmpl w:val="C2A2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A37F7"/>
    <w:multiLevelType w:val="hybridMultilevel"/>
    <w:tmpl w:val="9858E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118F1"/>
    <w:multiLevelType w:val="hybridMultilevel"/>
    <w:tmpl w:val="35EC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74651"/>
    <w:multiLevelType w:val="hybridMultilevel"/>
    <w:tmpl w:val="AEA816E8"/>
    <w:lvl w:ilvl="0" w:tplc="278EC5B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50AB1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E942B4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E46211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324A905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CD221E1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3B2C4C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6DFE1C2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EE864B0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C8B20E5"/>
    <w:multiLevelType w:val="hybridMultilevel"/>
    <w:tmpl w:val="B7D6433C"/>
    <w:lvl w:ilvl="0" w:tplc="F46425E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16"/>
        <w:szCs w:val="1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060442346">
    <w:abstractNumId w:val="15"/>
  </w:num>
  <w:num w:numId="2" w16cid:durableId="1600412112">
    <w:abstractNumId w:val="23"/>
  </w:num>
  <w:num w:numId="3" w16cid:durableId="759644805">
    <w:abstractNumId w:val="7"/>
  </w:num>
  <w:num w:numId="4" w16cid:durableId="332488745">
    <w:abstractNumId w:val="16"/>
  </w:num>
  <w:num w:numId="5" w16cid:durableId="846748525">
    <w:abstractNumId w:val="12"/>
  </w:num>
  <w:num w:numId="6" w16cid:durableId="2095200157">
    <w:abstractNumId w:val="13"/>
  </w:num>
  <w:num w:numId="7" w16cid:durableId="515582431">
    <w:abstractNumId w:val="6"/>
  </w:num>
  <w:num w:numId="8" w16cid:durableId="1642495346">
    <w:abstractNumId w:val="10"/>
  </w:num>
  <w:num w:numId="9" w16cid:durableId="2020232742">
    <w:abstractNumId w:val="20"/>
  </w:num>
  <w:num w:numId="10" w16cid:durableId="1421098291">
    <w:abstractNumId w:val="24"/>
  </w:num>
  <w:num w:numId="11" w16cid:durableId="2103796296">
    <w:abstractNumId w:val="14"/>
  </w:num>
  <w:num w:numId="12" w16cid:durableId="242761925">
    <w:abstractNumId w:val="3"/>
  </w:num>
  <w:num w:numId="13" w16cid:durableId="1630817232">
    <w:abstractNumId w:val="19"/>
  </w:num>
  <w:num w:numId="14" w16cid:durableId="1070271790">
    <w:abstractNumId w:val="2"/>
  </w:num>
  <w:num w:numId="15" w16cid:durableId="2058385980">
    <w:abstractNumId w:val="4"/>
  </w:num>
  <w:num w:numId="16" w16cid:durableId="1369338531">
    <w:abstractNumId w:val="5"/>
  </w:num>
  <w:num w:numId="17" w16cid:durableId="1446466435">
    <w:abstractNumId w:val="1"/>
  </w:num>
  <w:num w:numId="18" w16cid:durableId="330453376">
    <w:abstractNumId w:val="22"/>
  </w:num>
  <w:num w:numId="19" w16cid:durableId="333384838">
    <w:abstractNumId w:val="8"/>
  </w:num>
  <w:num w:numId="20" w16cid:durableId="1262300057">
    <w:abstractNumId w:val="17"/>
  </w:num>
  <w:num w:numId="21" w16cid:durableId="903680338">
    <w:abstractNumId w:val="11"/>
  </w:num>
  <w:num w:numId="22" w16cid:durableId="1248003912">
    <w:abstractNumId w:val="0"/>
  </w:num>
  <w:num w:numId="23" w16cid:durableId="1532450649">
    <w:abstractNumId w:val="18"/>
  </w:num>
  <w:num w:numId="24" w16cid:durableId="1686446015">
    <w:abstractNumId w:val="9"/>
  </w:num>
  <w:num w:numId="25" w16cid:durableId="5592936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6D"/>
    <w:rsid w:val="000158AC"/>
    <w:rsid w:val="00110753"/>
    <w:rsid w:val="001443A1"/>
    <w:rsid w:val="00165EE3"/>
    <w:rsid w:val="001D594C"/>
    <w:rsid w:val="00243CDA"/>
    <w:rsid w:val="0027748D"/>
    <w:rsid w:val="002D00F9"/>
    <w:rsid w:val="002F446E"/>
    <w:rsid w:val="003B509A"/>
    <w:rsid w:val="003E208B"/>
    <w:rsid w:val="0044476A"/>
    <w:rsid w:val="00447CE6"/>
    <w:rsid w:val="00476DB4"/>
    <w:rsid w:val="004F30CC"/>
    <w:rsid w:val="00512004"/>
    <w:rsid w:val="005B018C"/>
    <w:rsid w:val="006D703F"/>
    <w:rsid w:val="006F3FC5"/>
    <w:rsid w:val="00702953"/>
    <w:rsid w:val="007C5F6D"/>
    <w:rsid w:val="00866AEB"/>
    <w:rsid w:val="00891A35"/>
    <w:rsid w:val="008A1549"/>
    <w:rsid w:val="00952290"/>
    <w:rsid w:val="009E35D3"/>
    <w:rsid w:val="009F2719"/>
    <w:rsid w:val="009F3C57"/>
    <w:rsid w:val="00A04822"/>
    <w:rsid w:val="00A35BA9"/>
    <w:rsid w:val="00A52007"/>
    <w:rsid w:val="00AE65BD"/>
    <w:rsid w:val="00B1304D"/>
    <w:rsid w:val="00BF7AD1"/>
    <w:rsid w:val="00C21067"/>
    <w:rsid w:val="00D35D0D"/>
    <w:rsid w:val="00D56B1C"/>
    <w:rsid w:val="00D70BA1"/>
    <w:rsid w:val="00DE259C"/>
    <w:rsid w:val="00E2495C"/>
    <w:rsid w:val="00EC2146"/>
    <w:rsid w:val="00F23FD5"/>
    <w:rsid w:val="00F468E4"/>
    <w:rsid w:val="00F83AD6"/>
    <w:rsid w:val="00FA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C57E1"/>
  <w15:chartTrackingRefBased/>
  <w15:docId w15:val="{897A9F8B-A3B0-433F-9229-90491A6E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F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C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6D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39"/>
    <w:qFormat/>
    <w:rsid w:val="007C5F6D"/>
    <w:pPr>
      <w:spacing w:before="413"/>
    </w:pPr>
    <w:rPr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C5F6D"/>
  </w:style>
  <w:style w:type="character" w:customStyle="1" w:styleId="BodyTextChar">
    <w:name w:val="Body Text Char"/>
    <w:basedOn w:val="DefaultParagraphFont"/>
    <w:link w:val="BodyText"/>
    <w:uiPriority w:val="1"/>
    <w:rsid w:val="007C5F6D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D5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9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0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0F9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0F9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AE65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9koWKaK4/vhbgQZ2pM8lB56cZI8DwKg/edit" TargetMode="External"/><Relationship Id="rId13" Type="http://schemas.openxmlformats.org/officeDocument/2006/relationships/hyperlink" Target="https://github.com/cashannon/DSC-450-Applied-Data-Science/blob/main/datasets/bank-additional-full.csv" TargetMode="External"/><Relationship Id="rId18" Type="http://schemas.openxmlformats.org/officeDocument/2006/relationships/hyperlink" Target="https://doi.org/10.24432/C5K3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ashannon/DSC-450-Applied-Data-Science" TargetMode="External"/><Relationship Id="rId12" Type="http://schemas.openxmlformats.org/officeDocument/2006/relationships/hyperlink" Target="https://github.com/cashannon/DSC-450-Applied-Data-Science/blob/main/datasets/bank-additional-full.csv" TargetMode="External"/><Relationship Id="rId17" Type="http://schemas.openxmlformats.org/officeDocument/2006/relationships/hyperlink" Target="https://www.geeksforgeeks.org/machine-learning/metrics-for-machine-learning-mode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nkingjournal.aba.com/2024/03/using-data-and-analytics-to-improve-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canva.com/design/DAG9koWKaK4/vhbgQZ2pM8lB56cZI8DwKg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ashannon/DSC-450-Applied-Data-Science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Love</dc:creator>
  <cp:keywords/>
  <dc:description/>
  <cp:lastModifiedBy>Crissy Shannon</cp:lastModifiedBy>
  <cp:revision>21</cp:revision>
  <dcterms:created xsi:type="dcterms:W3CDTF">2026-01-22T18:43:00Z</dcterms:created>
  <dcterms:modified xsi:type="dcterms:W3CDTF">2026-01-23T01:40:00Z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f52b337d-4914-4dfc-879a-1fcd81f82e72</vt:lpwstr>
  </property>
</Properties>
</file>