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02E9" w14:textId="77777777" w:rsidR="00B30B3A" w:rsidRDefault="00B30B3A"/>
    <w:tbl>
      <w:tblPr>
        <w:tblStyle w:val="Tabellenraster"/>
        <w:tblW w:w="157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624"/>
        <w:gridCol w:w="1032"/>
        <w:gridCol w:w="1462"/>
        <w:gridCol w:w="2073"/>
        <w:gridCol w:w="1598"/>
        <w:gridCol w:w="2073"/>
        <w:gridCol w:w="2153"/>
        <w:gridCol w:w="748"/>
        <w:gridCol w:w="1038"/>
      </w:tblGrid>
      <w:tr w:rsidR="0015739D" w14:paraId="6CA48C0C" w14:textId="1D01B9A1" w:rsidTr="0015739D">
        <w:trPr>
          <w:trHeight w:val="944"/>
        </w:trPr>
        <w:tc>
          <w:tcPr>
            <w:tcW w:w="1702" w:type="dxa"/>
            <w:vMerge w:val="restart"/>
          </w:tcPr>
          <w:p w14:paraId="17131B9D" w14:textId="77777777" w:rsidR="0015739D" w:rsidRDefault="0015739D" w:rsidP="00050561"/>
        </w:tc>
        <w:tc>
          <w:tcPr>
            <w:tcW w:w="2931" w:type="dxa"/>
            <w:gridSpan w:val="3"/>
          </w:tcPr>
          <w:p w14:paraId="531720E3" w14:textId="77777777" w:rsidR="0015739D" w:rsidRDefault="0015739D" w:rsidP="00050561">
            <w:r>
              <w:t xml:space="preserve">Akkuratheit </w:t>
            </w:r>
          </w:p>
        </w:tc>
        <w:tc>
          <w:tcPr>
            <w:tcW w:w="1462" w:type="dxa"/>
          </w:tcPr>
          <w:p w14:paraId="39558FEA" w14:textId="77777777" w:rsidR="0015739D" w:rsidRDefault="0015739D" w:rsidP="00050561">
            <w:r>
              <w:t>Sensitivität</w:t>
            </w:r>
          </w:p>
        </w:tc>
        <w:tc>
          <w:tcPr>
            <w:tcW w:w="2073" w:type="dxa"/>
            <w:vMerge w:val="restart"/>
          </w:tcPr>
          <w:p w14:paraId="227EC99E" w14:textId="77777777" w:rsidR="0015739D" w:rsidRDefault="0015739D" w:rsidP="00050561">
            <w:r>
              <w:t>Wahrgenommene Aufgaben Schwierigkeit</w:t>
            </w:r>
          </w:p>
        </w:tc>
        <w:tc>
          <w:tcPr>
            <w:tcW w:w="1598" w:type="dxa"/>
            <w:vMerge w:val="restart"/>
          </w:tcPr>
          <w:p w14:paraId="7509826B" w14:textId="77777777" w:rsidR="0015739D" w:rsidRDefault="0015739D" w:rsidP="00050561">
            <w:r>
              <w:t>Effizienz</w:t>
            </w:r>
          </w:p>
        </w:tc>
        <w:tc>
          <w:tcPr>
            <w:tcW w:w="2073" w:type="dxa"/>
            <w:vMerge w:val="restart"/>
          </w:tcPr>
          <w:p w14:paraId="08DD42C7" w14:textId="77777777" w:rsidR="0015739D" w:rsidRDefault="0015739D" w:rsidP="00050561">
            <w:r>
              <w:t xml:space="preserve">Wahrgenommene </w:t>
            </w:r>
            <w:proofErr w:type="spellStart"/>
            <w:r>
              <w:t>Informativität</w:t>
            </w:r>
            <w:proofErr w:type="spellEnd"/>
          </w:p>
        </w:tc>
        <w:tc>
          <w:tcPr>
            <w:tcW w:w="2153" w:type="dxa"/>
            <w:vMerge w:val="restart"/>
          </w:tcPr>
          <w:p w14:paraId="2B57822B" w14:textId="77777777" w:rsidR="0015739D" w:rsidRDefault="0015739D" w:rsidP="00050561">
            <w:r>
              <w:t>Wahrgenommener</w:t>
            </w:r>
          </w:p>
          <w:p w14:paraId="57297619" w14:textId="77777777" w:rsidR="0015739D" w:rsidRDefault="0015739D" w:rsidP="00050561">
            <w:r>
              <w:t>praktischer Wert</w:t>
            </w:r>
          </w:p>
        </w:tc>
        <w:tc>
          <w:tcPr>
            <w:tcW w:w="1786" w:type="dxa"/>
            <w:gridSpan w:val="2"/>
          </w:tcPr>
          <w:p w14:paraId="663B08F6" w14:textId="0B2DF337" w:rsidR="0015739D" w:rsidRDefault="0015739D" w:rsidP="00050561">
            <w:r>
              <w:t>Fehlkonzept</w:t>
            </w:r>
          </w:p>
        </w:tc>
      </w:tr>
      <w:tr w:rsidR="0015739D" w14:paraId="4795826C" w14:textId="507B57C0" w:rsidTr="0015739D">
        <w:trPr>
          <w:trHeight w:val="513"/>
        </w:trPr>
        <w:tc>
          <w:tcPr>
            <w:tcW w:w="1702" w:type="dxa"/>
            <w:vMerge/>
          </w:tcPr>
          <w:p w14:paraId="470B5B66" w14:textId="77777777" w:rsidR="0015739D" w:rsidRDefault="0015739D" w:rsidP="0015739D"/>
        </w:tc>
        <w:tc>
          <w:tcPr>
            <w:tcW w:w="1275" w:type="dxa"/>
          </w:tcPr>
          <w:p w14:paraId="19BE3724" w14:textId="22D4C5C5" w:rsidR="0015739D" w:rsidRDefault="0015739D" w:rsidP="0015739D">
            <w:r>
              <w:t>Abstrakte Metrik</w:t>
            </w:r>
          </w:p>
        </w:tc>
        <w:tc>
          <w:tcPr>
            <w:tcW w:w="624" w:type="dxa"/>
          </w:tcPr>
          <w:p w14:paraId="5662ED20" w14:textId="65443293" w:rsidR="0015739D" w:rsidRDefault="0015739D" w:rsidP="0015739D">
            <w:r>
              <w:t xml:space="preserve">U3 </w:t>
            </w:r>
          </w:p>
        </w:tc>
        <w:tc>
          <w:tcPr>
            <w:tcW w:w="1032" w:type="dxa"/>
          </w:tcPr>
          <w:p w14:paraId="0B53BE33" w14:textId="75804529" w:rsidR="0015739D" w:rsidRDefault="0015739D" w:rsidP="0015739D">
            <w:proofErr w:type="spellStart"/>
            <w:r>
              <w:t>Overlap</w:t>
            </w:r>
            <w:proofErr w:type="spellEnd"/>
          </w:p>
        </w:tc>
        <w:tc>
          <w:tcPr>
            <w:tcW w:w="1462" w:type="dxa"/>
          </w:tcPr>
          <w:p w14:paraId="315626D0" w14:textId="2BF5AF53" w:rsidR="0015739D" w:rsidRDefault="0015739D" w:rsidP="0015739D"/>
        </w:tc>
        <w:tc>
          <w:tcPr>
            <w:tcW w:w="2073" w:type="dxa"/>
            <w:vMerge/>
          </w:tcPr>
          <w:p w14:paraId="511BBF05" w14:textId="77777777" w:rsidR="0015739D" w:rsidRDefault="0015739D" w:rsidP="0015739D"/>
        </w:tc>
        <w:tc>
          <w:tcPr>
            <w:tcW w:w="1598" w:type="dxa"/>
            <w:vMerge/>
          </w:tcPr>
          <w:p w14:paraId="307C0B45" w14:textId="77777777" w:rsidR="0015739D" w:rsidRDefault="0015739D" w:rsidP="0015739D"/>
        </w:tc>
        <w:tc>
          <w:tcPr>
            <w:tcW w:w="2073" w:type="dxa"/>
            <w:vMerge/>
          </w:tcPr>
          <w:p w14:paraId="21C9117D" w14:textId="77777777" w:rsidR="0015739D" w:rsidRDefault="0015739D" w:rsidP="0015739D"/>
        </w:tc>
        <w:tc>
          <w:tcPr>
            <w:tcW w:w="2153" w:type="dxa"/>
            <w:vMerge/>
          </w:tcPr>
          <w:p w14:paraId="39B09D76" w14:textId="77777777" w:rsidR="0015739D" w:rsidRDefault="0015739D" w:rsidP="0015739D"/>
        </w:tc>
        <w:tc>
          <w:tcPr>
            <w:tcW w:w="748" w:type="dxa"/>
          </w:tcPr>
          <w:p w14:paraId="3315F1CF" w14:textId="084CC7F4" w:rsidR="0015739D" w:rsidRDefault="0015739D" w:rsidP="0015739D">
            <w:r>
              <w:t xml:space="preserve">U3 </w:t>
            </w:r>
          </w:p>
        </w:tc>
        <w:tc>
          <w:tcPr>
            <w:tcW w:w="1038" w:type="dxa"/>
          </w:tcPr>
          <w:p w14:paraId="26E22F34" w14:textId="049F97D0" w:rsidR="0015739D" w:rsidRDefault="0015739D" w:rsidP="0015739D">
            <w:proofErr w:type="spellStart"/>
            <w:r>
              <w:t>Overlap</w:t>
            </w:r>
            <w:proofErr w:type="spellEnd"/>
          </w:p>
        </w:tc>
      </w:tr>
      <w:tr w:rsidR="0015739D" w14:paraId="109814BE" w14:textId="6BEA606D" w:rsidTr="0015739D">
        <w:trPr>
          <w:trHeight w:val="2450"/>
        </w:trPr>
        <w:tc>
          <w:tcPr>
            <w:tcW w:w="1702" w:type="dxa"/>
          </w:tcPr>
          <w:p w14:paraId="7F9DA8EF" w14:textId="6F6E6116" w:rsidR="0015739D" w:rsidRDefault="0015739D" w:rsidP="0015739D">
            <w:r>
              <w:t>Visualisierungsart</w:t>
            </w:r>
          </w:p>
        </w:tc>
        <w:tc>
          <w:tcPr>
            <w:tcW w:w="2931" w:type="dxa"/>
            <w:gridSpan w:val="3"/>
          </w:tcPr>
          <w:p w14:paraId="5E66CD56" w14:textId="3AE60405" w:rsidR="0015739D" w:rsidRDefault="0015739D" w:rsidP="0015739D">
            <w:pPr>
              <w:jc w:val="center"/>
            </w:pPr>
            <w:r>
              <w:t>Keinen Einfluss</w:t>
            </w:r>
          </w:p>
        </w:tc>
        <w:tc>
          <w:tcPr>
            <w:tcW w:w="1462" w:type="dxa"/>
          </w:tcPr>
          <w:p w14:paraId="28E04777" w14:textId="4FEE3CEE" w:rsidR="0015739D" w:rsidRDefault="0015739D" w:rsidP="0015739D">
            <w:r>
              <w:t xml:space="preserve">Einfluss vorhanden </w:t>
            </w:r>
            <w:r>
              <w:sym w:font="Wingdings" w:char="F0E0"/>
            </w:r>
            <w:r>
              <w:t xml:space="preserve"> höhere Sensitivität bei </w:t>
            </w:r>
            <w:proofErr w:type="spellStart"/>
            <w:r>
              <w:t>Halfeye</w:t>
            </w:r>
            <w:proofErr w:type="spellEnd"/>
            <w:r>
              <w:t xml:space="preserve"> </w:t>
            </w:r>
            <w:proofErr w:type="spellStart"/>
            <w:r>
              <w:t>plots</w:t>
            </w:r>
            <w:proofErr w:type="spellEnd"/>
            <w:r>
              <w:t xml:space="preserve"> </w:t>
            </w:r>
          </w:p>
        </w:tc>
        <w:tc>
          <w:tcPr>
            <w:tcW w:w="2073" w:type="dxa"/>
          </w:tcPr>
          <w:p w14:paraId="3F22774C" w14:textId="1A6CFE44" w:rsidR="0015739D" w:rsidRDefault="0015739D" w:rsidP="0015739D">
            <w:r>
              <w:t xml:space="preserve">Einfluss vorhanden </w:t>
            </w:r>
            <w:r>
              <w:sym w:font="Wingdings" w:char="F0E0"/>
            </w:r>
            <w:r>
              <w:t xml:space="preserve"> geringere Schwierigkeit bei </w:t>
            </w:r>
            <w:proofErr w:type="spellStart"/>
            <w:r>
              <w:t>Halfeye</w:t>
            </w:r>
            <w:proofErr w:type="spellEnd"/>
            <w:r>
              <w:t xml:space="preserve"> </w:t>
            </w:r>
            <w:proofErr w:type="spellStart"/>
            <w:r>
              <w:t>plots</w:t>
            </w:r>
            <w:proofErr w:type="spellEnd"/>
            <w:r>
              <w:t xml:space="preserve"> </w:t>
            </w:r>
          </w:p>
        </w:tc>
        <w:tc>
          <w:tcPr>
            <w:tcW w:w="1598" w:type="dxa"/>
          </w:tcPr>
          <w:p w14:paraId="28477AFF" w14:textId="4FAFFE3D" w:rsidR="0015739D" w:rsidRDefault="0015739D" w:rsidP="0015739D">
            <w:r>
              <w:t xml:space="preserve">Einfluss vorhanden </w:t>
            </w:r>
            <w:r>
              <w:sym w:font="Wingdings" w:char="F0E0"/>
            </w:r>
            <w:r>
              <w:t xml:space="preserve"> geringere </w:t>
            </w:r>
            <w:r>
              <w:t>Verweildauer</w:t>
            </w:r>
            <w:r>
              <w:t xml:space="preserve"> bei </w:t>
            </w:r>
            <w:proofErr w:type="spellStart"/>
            <w:r>
              <w:t>Halfeye</w:t>
            </w:r>
            <w:proofErr w:type="spellEnd"/>
            <w:r>
              <w:t xml:space="preserve"> </w:t>
            </w:r>
            <w:proofErr w:type="spellStart"/>
            <w:r>
              <w:t>plots</w:t>
            </w:r>
            <w:proofErr w:type="spellEnd"/>
            <w:r>
              <w:t xml:space="preserve"> und </w:t>
            </w:r>
            <w:proofErr w:type="spellStart"/>
            <w:r>
              <w:t>Raincloud</w:t>
            </w:r>
            <w:proofErr w:type="spellEnd"/>
            <w:r>
              <w:t xml:space="preserve"> </w:t>
            </w:r>
            <w:proofErr w:type="spellStart"/>
            <w:r>
              <w:t>plots</w:t>
            </w:r>
            <w:proofErr w:type="spellEnd"/>
          </w:p>
        </w:tc>
        <w:tc>
          <w:tcPr>
            <w:tcW w:w="2073" w:type="dxa"/>
          </w:tcPr>
          <w:p w14:paraId="5946610D" w14:textId="1C6AA985" w:rsidR="0015739D" w:rsidRDefault="0015739D" w:rsidP="0015739D">
            <w:r>
              <w:t xml:space="preserve">Einfluss vorhanden </w:t>
            </w:r>
            <w:r>
              <w:sym w:font="Wingdings" w:char="F0E0"/>
            </w:r>
            <w:r>
              <w:t xml:space="preserve"> höhere </w:t>
            </w:r>
            <w:proofErr w:type="spellStart"/>
            <w:r>
              <w:t>Informativität</w:t>
            </w:r>
            <w:proofErr w:type="spellEnd"/>
            <w:r>
              <w:t xml:space="preserve"> bei </w:t>
            </w:r>
            <w:proofErr w:type="spellStart"/>
            <w:r>
              <w:t>Halfeye</w:t>
            </w:r>
            <w:proofErr w:type="spellEnd"/>
            <w:r>
              <w:t xml:space="preserve"> </w:t>
            </w:r>
            <w:proofErr w:type="spellStart"/>
            <w:r>
              <w:t>plots</w:t>
            </w:r>
            <w:proofErr w:type="spellEnd"/>
            <w:r>
              <w:t xml:space="preserve"> (v.a. mit Gruppen auf x-Achse)</w:t>
            </w:r>
          </w:p>
        </w:tc>
        <w:tc>
          <w:tcPr>
            <w:tcW w:w="2153" w:type="dxa"/>
          </w:tcPr>
          <w:p w14:paraId="27ABA1AC" w14:textId="77777777" w:rsidR="0015739D" w:rsidRDefault="0015739D" w:rsidP="0015739D">
            <w:r>
              <w:t xml:space="preserve">Einfluss vorhanden </w:t>
            </w:r>
          </w:p>
          <w:p w14:paraId="7C061672" w14:textId="6B6E5494" w:rsidR="0015739D" w:rsidRDefault="0015739D" w:rsidP="0015739D">
            <w:r>
              <w:sym w:font="Wingdings" w:char="F0E0"/>
            </w:r>
            <w:r>
              <w:t xml:space="preserve"> höhere</w:t>
            </w:r>
            <w:r>
              <w:t>r praktischer Wert</w:t>
            </w:r>
            <w:r>
              <w:t xml:space="preserve"> bei </w:t>
            </w:r>
            <w:proofErr w:type="spellStart"/>
            <w:r>
              <w:t>Halfeye</w:t>
            </w:r>
            <w:proofErr w:type="spellEnd"/>
            <w:r>
              <w:t xml:space="preserve"> </w:t>
            </w:r>
            <w:proofErr w:type="spellStart"/>
            <w:r>
              <w:t>plots</w:t>
            </w:r>
            <w:proofErr w:type="spellEnd"/>
          </w:p>
        </w:tc>
        <w:tc>
          <w:tcPr>
            <w:tcW w:w="1786" w:type="dxa"/>
            <w:gridSpan w:val="2"/>
          </w:tcPr>
          <w:p w14:paraId="1982185B" w14:textId="77777777" w:rsidR="0015739D" w:rsidRDefault="0015739D" w:rsidP="0015739D"/>
        </w:tc>
      </w:tr>
      <w:tr w:rsidR="0015739D" w14:paraId="0F9BE1C3" w14:textId="2EED1DF9" w:rsidTr="0015739D">
        <w:trPr>
          <w:trHeight w:val="240"/>
        </w:trPr>
        <w:tc>
          <w:tcPr>
            <w:tcW w:w="1702" w:type="dxa"/>
          </w:tcPr>
          <w:p w14:paraId="35608422" w14:textId="2D71C07F" w:rsidR="0015739D" w:rsidRDefault="0015739D" w:rsidP="0015739D">
            <w:r>
              <w:t>Anreicherung</w:t>
            </w:r>
          </w:p>
        </w:tc>
        <w:tc>
          <w:tcPr>
            <w:tcW w:w="2931" w:type="dxa"/>
            <w:gridSpan w:val="3"/>
          </w:tcPr>
          <w:p w14:paraId="52B9CE4A" w14:textId="77777777" w:rsidR="0015739D" w:rsidRDefault="0015739D" w:rsidP="0015739D"/>
        </w:tc>
        <w:tc>
          <w:tcPr>
            <w:tcW w:w="1462" w:type="dxa"/>
          </w:tcPr>
          <w:p w14:paraId="3D2BC0BA" w14:textId="77777777" w:rsidR="0015739D" w:rsidRDefault="0015739D" w:rsidP="0015739D"/>
        </w:tc>
        <w:tc>
          <w:tcPr>
            <w:tcW w:w="2073" w:type="dxa"/>
          </w:tcPr>
          <w:p w14:paraId="528D8339" w14:textId="77777777" w:rsidR="0015739D" w:rsidRDefault="0015739D" w:rsidP="0015739D"/>
        </w:tc>
        <w:tc>
          <w:tcPr>
            <w:tcW w:w="1598" w:type="dxa"/>
          </w:tcPr>
          <w:p w14:paraId="19F011E1" w14:textId="77777777" w:rsidR="0015739D" w:rsidRDefault="0015739D" w:rsidP="0015739D"/>
        </w:tc>
        <w:tc>
          <w:tcPr>
            <w:tcW w:w="2073" w:type="dxa"/>
          </w:tcPr>
          <w:p w14:paraId="29EA94FE" w14:textId="77777777" w:rsidR="0015739D" w:rsidRDefault="0015739D" w:rsidP="0015739D"/>
        </w:tc>
        <w:tc>
          <w:tcPr>
            <w:tcW w:w="2153" w:type="dxa"/>
          </w:tcPr>
          <w:p w14:paraId="2762AD37" w14:textId="77777777" w:rsidR="0015739D" w:rsidRDefault="0015739D" w:rsidP="0015739D"/>
        </w:tc>
        <w:tc>
          <w:tcPr>
            <w:tcW w:w="1786" w:type="dxa"/>
            <w:gridSpan w:val="2"/>
          </w:tcPr>
          <w:p w14:paraId="59A394CD" w14:textId="77777777" w:rsidR="0015739D" w:rsidRDefault="0015739D" w:rsidP="0015739D"/>
        </w:tc>
      </w:tr>
    </w:tbl>
    <w:p w14:paraId="56E31749" w14:textId="77777777" w:rsidR="00B30B3A" w:rsidRDefault="00B30B3A" w:rsidP="00B30B3A"/>
    <w:p w14:paraId="76B84A9B" w14:textId="77777777" w:rsidR="00B30B3A" w:rsidRDefault="00B30B3A"/>
    <w:sectPr w:rsidR="00B30B3A" w:rsidSect="00356688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88"/>
    <w:rsid w:val="00082A15"/>
    <w:rsid w:val="000F4735"/>
    <w:rsid w:val="0015739D"/>
    <w:rsid w:val="00254696"/>
    <w:rsid w:val="00356688"/>
    <w:rsid w:val="00412CF6"/>
    <w:rsid w:val="009B6E1E"/>
    <w:rsid w:val="00B30B3A"/>
    <w:rsid w:val="00C8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0BFE8"/>
  <w15:chartTrackingRefBased/>
  <w15:docId w15:val="{D0979475-BE75-3B47-B0C7-35FF0D9F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6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6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6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6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6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66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66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66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66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6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6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6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66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66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66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66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66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66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66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6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66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6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66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66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66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66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6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66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668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5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5CEBEE-2414-D945-97DD-1C4EB4B9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1</cp:revision>
  <dcterms:created xsi:type="dcterms:W3CDTF">2024-06-26T13:37:00Z</dcterms:created>
  <dcterms:modified xsi:type="dcterms:W3CDTF">2024-06-26T14:12:00Z</dcterms:modified>
</cp:coreProperties>
</file>