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5E35" w14:textId="7DB421F2" w:rsidR="0005015B" w:rsidRDefault="0002233F" w:rsidP="0005015B">
      <w:pPr>
        <w:pStyle w:val="Title"/>
      </w:pPr>
      <w:r>
        <w:t xml:space="preserve">Background and </w:t>
      </w:r>
      <w:r w:rsidR="0005015B">
        <w:t>Literature Review</w:t>
      </w:r>
    </w:p>
    <w:p w14:paraId="7770064B" w14:textId="77777777" w:rsidR="0005015B" w:rsidRDefault="0005015B" w:rsidP="0005015B"/>
    <w:p w14:paraId="1FAE72F2" w14:textId="77777777" w:rsidR="0005015B" w:rsidRDefault="0005015B" w:rsidP="0005015B">
      <w:pPr>
        <w:pStyle w:val="Heading1"/>
        <w:numPr>
          <w:ilvl w:val="0"/>
          <w:numId w:val="1"/>
        </w:numPr>
      </w:pPr>
      <w:r>
        <w:t>Medical Aspect</w:t>
      </w:r>
    </w:p>
    <w:p w14:paraId="1A24AA49" w14:textId="70A23042" w:rsidR="0002233F" w:rsidRDefault="0005015B" w:rsidP="0002233F">
      <w:pPr>
        <w:pStyle w:val="Heading2"/>
        <w:numPr>
          <w:ilvl w:val="1"/>
          <w:numId w:val="1"/>
        </w:numPr>
      </w:pPr>
      <w:r>
        <w:t>Clinical definition and types of brain h</w:t>
      </w:r>
      <w:r w:rsidR="00BF0D64">
        <w:t>a</w:t>
      </w:r>
      <w:r>
        <w:t>emorrhage</w:t>
      </w:r>
    </w:p>
    <w:p w14:paraId="15E23BF3" w14:textId="715EAC8C" w:rsidR="007C32F6" w:rsidRDefault="00787D8E" w:rsidP="00E34C86">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63679F">
            <w:rPr>
              <w:noProof/>
            </w:rPr>
            <w:t xml:space="preserve"> </w:t>
          </w:r>
          <w:r w:rsidR="0063679F" w:rsidRPr="0063679F">
            <w:rPr>
              <w:noProof/>
            </w:rPr>
            <w:t>[1]</w:t>
          </w:r>
          <w:r w:rsidR="0018215F">
            <w:fldChar w:fldCharType="end"/>
          </w:r>
        </w:sdtContent>
      </w:sdt>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C7740F">
        <w:t>vein, the speed at which blood flows into the brain and the volume of the bleed can all be factors of the severity of the case, potentially leading to death.</w:t>
      </w:r>
      <w:r w:rsidR="00726F74">
        <w:t xml:space="preserve"> The region of the brain in which the bleed occurs tends to indicate what are the functions and bodily abilities the patient might lose, such as movement of one side of the body or speech. The increase in pressure in the region where the bleed occurs is </w:t>
      </w:r>
      <w:r w:rsidR="00CA492E">
        <w:t>since</w:t>
      </w:r>
      <w:r w:rsidR="00726F74">
        <w:t xml:space="preserve"> blood irritates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0F3652E1" w:rsidR="00CC54A8" w:rsidRPr="00244115" w:rsidRDefault="006F07CF" w:rsidP="00E34C86">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In such cases, the brain is highly likely to move within the skull, potentially hitting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Due to the nature of this form of </w:t>
      </w:r>
      <w:r w:rsidR="00C9469D">
        <w:t>haemorrhage</w:t>
      </w:r>
      <w:r w:rsidR="00CB2435">
        <w:t xml:space="preserve">, it is most common in young adults, being considered as the highest cause of death in the 15-24 age group, and the third highest, after heart disease and cancer, in other ages. </w:t>
      </w:r>
      <w:sdt>
        <w:sdtPr>
          <w:id w:val="1188942705"/>
          <w:citation/>
        </w:sdtPr>
        <w:sdtContent>
          <w:r w:rsidR="0018215F">
            <w:fldChar w:fldCharType="begin"/>
          </w:r>
          <w:r w:rsidR="0018215F">
            <w:instrText xml:space="preserve"> CITATION BSh13 \l 2057 </w:instrText>
          </w:r>
          <w:r w:rsidR="0018215F">
            <w:fldChar w:fldCharType="separate"/>
          </w:r>
          <w:r w:rsidR="0063679F" w:rsidRPr="0063679F">
            <w:rPr>
              <w:noProof/>
            </w:rPr>
            <w:t>[2]</w:t>
          </w:r>
          <w:r w:rsidR="0018215F">
            <w:fldChar w:fldCharType="end"/>
          </w:r>
        </w:sdtContent>
      </w:sdt>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3B1F3A3D" w:rsidR="00F90D01" w:rsidRDefault="00C9469D" w:rsidP="00E34C86">
      <w:r>
        <w:t xml:space="preserve">There are 5 different types of haemorrhage. These are intracerebral haemorrhage (ICH), intraventricular haemorrhage (IVH), epidural haemorrhage (EDH), subdural haemorrhage (SDH) and subarachnoid haemorrhage (SAH). </w:t>
      </w:r>
      <w:sdt>
        <w:sdtPr>
          <w:id w:val="-682440152"/>
          <w:citation/>
        </w:sdtPr>
        <w:sdtContent>
          <w:r>
            <w:fldChar w:fldCharType="begin"/>
          </w:r>
          <w:r>
            <w:instrText xml:space="preserve"> CITATION Sha14 \l 2057 </w:instrText>
          </w:r>
          <w:r>
            <w:fldChar w:fldCharType="separate"/>
          </w:r>
          <w:r w:rsidR="0063679F" w:rsidRPr="0063679F">
            <w:rPr>
              <w:noProof/>
            </w:rPr>
            <w:t>[3]</w:t>
          </w:r>
          <w:r>
            <w:fldChar w:fldCharType="end"/>
          </w:r>
        </w:sdtContent>
      </w:sdt>
      <w:r>
        <w:t xml:space="preserve"> The location of the bleed determines what </w:t>
      </w:r>
      <w:r>
        <w:lastRenderedPageBreak/>
        <w:t xml:space="preserve">the original source was, for instance subdural and epidural haemorrhages are usually due to experienced trauma, sometimes having a scar related to them and are located towards the side of the brain, not inside. </w:t>
      </w:r>
      <w:sdt>
        <w:sdtPr>
          <w:id w:val="2102213881"/>
          <w:citation/>
        </w:sdtPr>
        <w:sdtContent>
          <w:r>
            <w:fldChar w:fldCharType="begin"/>
          </w:r>
          <w:r>
            <w:instrText xml:space="preserve"> CITATION Nai11 \l 2057 </w:instrText>
          </w:r>
          <w:r>
            <w:fldChar w:fldCharType="separate"/>
          </w:r>
          <w:r w:rsidR="0063679F" w:rsidRPr="0063679F">
            <w:rPr>
              <w:noProof/>
            </w:rPr>
            <w:t>[1]</w:t>
          </w:r>
          <w:r>
            <w:fldChar w:fldCharType="end"/>
          </w:r>
        </w:sdtContent>
      </w:sdt>
      <w:r>
        <w:t xml:space="preserve"> Each of these types of haemorrhage have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 On the other hand, extra-axial bleeds are those occurring within the skull but external to the brain tissue and tend to be easier to treat. Extra-axial bleeds can be further classified into 3 sub-categories, namely EDH, SDH and SAH.</w:t>
      </w:r>
    </w:p>
    <w:p w14:paraId="3B8C2EB4" w14:textId="77777777" w:rsidR="00C10C92" w:rsidRDefault="00F43928" w:rsidP="00C10C92">
      <w:pPr>
        <w:keepNext/>
      </w:pPr>
      <w:r>
        <w:rPr>
          <w:noProof/>
        </w:rPr>
        <w:drawing>
          <wp:inline distT="0" distB="0" distL="0" distR="0" wp14:anchorId="54EA16FB" wp14:editId="710A983A">
            <wp:extent cx="5731510" cy="3862923"/>
            <wp:effectExtent l="0" t="0" r="2540" b="444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2923"/>
                    </a:xfrm>
                    <a:prstGeom prst="rect">
                      <a:avLst/>
                    </a:prstGeom>
                    <a:noFill/>
                    <a:ln>
                      <a:noFill/>
                    </a:ln>
                  </pic:spPr>
                </pic:pic>
              </a:graphicData>
            </a:graphic>
          </wp:inline>
        </w:drawing>
      </w:r>
    </w:p>
    <w:p w14:paraId="04202C7F" w14:textId="0E4D767D" w:rsidR="00F43928" w:rsidRDefault="00C10C92" w:rsidP="00C10C92">
      <w:pPr>
        <w:pStyle w:val="Caption"/>
        <w:rPr>
          <w:color w:val="FF0000"/>
        </w:rPr>
      </w:pPr>
      <w:r>
        <w:t xml:space="preserve">Figure </w:t>
      </w:r>
      <w:r>
        <w:fldChar w:fldCharType="begin"/>
      </w:r>
      <w:r>
        <w:instrText xml:space="preserve"> SEQ Figure \* ARABIC </w:instrText>
      </w:r>
      <w:r>
        <w:fldChar w:fldCharType="separate"/>
      </w:r>
      <w:r w:rsidR="00E630B9">
        <w:rPr>
          <w:noProof/>
        </w:rPr>
        <w:t>1</w:t>
      </w:r>
      <w:r>
        <w:fldChar w:fldCharType="end"/>
      </w:r>
      <w:r>
        <w:t>: Diagram of hematoma locations and other parts of the human brain</w:t>
      </w:r>
      <w:sdt>
        <w:sdtPr>
          <w:id w:val="-812720663"/>
          <w:citation/>
        </w:sdtPr>
        <w:sdtContent>
          <w:r>
            <w:fldChar w:fldCharType="begin"/>
          </w:r>
          <w:r>
            <w:instrText xml:space="preserve"> CITATION Spo15 \l 2057 </w:instrText>
          </w:r>
          <w:r>
            <w:fldChar w:fldCharType="separate"/>
          </w:r>
          <w:r w:rsidR="0063679F">
            <w:rPr>
              <w:noProof/>
            </w:rPr>
            <w:t xml:space="preserve"> </w:t>
          </w:r>
          <w:r w:rsidR="0063679F" w:rsidRPr="0063679F">
            <w:rPr>
              <w:noProof/>
            </w:rPr>
            <w:t>[4]</w:t>
          </w:r>
          <w:r>
            <w:fldChar w:fldCharType="end"/>
          </w:r>
        </w:sdtContent>
      </w:sdt>
    </w:p>
    <w:p w14:paraId="1624E732" w14:textId="77777777" w:rsidR="00D22A9C" w:rsidRPr="00001453" w:rsidRDefault="00D22A9C" w:rsidP="00E34C86">
      <w:pPr>
        <w:rPr>
          <w:color w:val="FF0000"/>
        </w:rPr>
      </w:pPr>
    </w:p>
    <w:p w14:paraId="786C0E1A" w14:textId="4A2C5220" w:rsidR="0005015B" w:rsidRDefault="0005015B" w:rsidP="0005015B">
      <w:pPr>
        <w:pStyle w:val="Heading2"/>
        <w:numPr>
          <w:ilvl w:val="1"/>
          <w:numId w:val="1"/>
        </w:numPr>
      </w:pPr>
      <w:r>
        <w:t>Computed tomography</w:t>
      </w:r>
    </w:p>
    <w:p w14:paraId="71131A80" w14:textId="3A88C898" w:rsidR="00694517" w:rsidRDefault="00686032" w:rsidP="00686032">
      <w:r>
        <w:t>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it passes through.</w:t>
      </w:r>
      <w:r w:rsidR="009E22F1">
        <w:t xml:space="preserve"> The rate of absorption is calculated by measuring the attenuation coefficient </w:t>
      </w:r>
      <w:r w:rsidR="009E22F1">
        <w:lastRenderedPageBreak/>
        <w:t>of the detected x-ray wave in comparison to the fixed emitted x-ray waves, which properties are known. The attenuation coefficient quantifies how much the detected x-ray signal is weakened after passing through a given material</w:t>
      </w:r>
      <w:r w:rsidR="00E72561">
        <w:t>, and is used to calculate the density of the material</w:t>
      </w:r>
      <w:r w:rsidR="009E22F1">
        <w:t>.</w:t>
      </w:r>
      <w:sdt>
        <w:sdtPr>
          <w:id w:val="-523398093"/>
          <w:citation/>
        </w:sdtPr>
        <w:sdtContent>
          <w:r w:rsidR="00F31C14">
            <w:fldChar w:fldCharType="begin"/>
          </w:r>
          <w:r w:rsidR="00F31C14">
            <w:instrText xml:space="preserve"> CITATION Mir18 \l 2057 </w:instrText>
          </w:r>
          <w:r w:rsidR="00F31C14">
            <w:fldChar w:fldCharType="separate"/>
          </w:r>
          <w:r w:rsidR="0063679F">
            <w:rPr>
              <w:noProof/>
            </w:rPr>
            <w:t xml:space="preserve"> </w:t>
          </w:r>
          <w:r w:rsidR="0063679F" w:rsidRPr="0063679F">
            <w:rPr>
              <w:noProof/>
            </w:rPr>
            <w:t>[5]</w:t>
          </w:r>
          <w:r w:rsidR="00F31C14">
            <w:fldChar w:fldCharType="end"/>
          </w:r>
        </w:sdtContent>
      </w:sdt>
      <w:r w:rsidR="009E22F1">
        <w:t xml:space="preserve"> </w:t>
      </w:r>
      <w:r>
        <w:t xml:space="preserve">This is the same principle behind conventional radiography, which are traditionally used </w:t>
      </w:r>
      <w:r w:rsidR="009D07AD">
        <w:t>to</w:t>
      </w:r>
      <w:r>
        <w:t xml:space="preserve"> </w:t>
      </w:r>
      <w:r w:rsidR="009D07AD">
        <w:t>examine the skeletal structure for fractures and assess lung pathologies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63679F">
            <w:rPr>
              <w:noProof/>
            </w:rPr>
            <w:t xml:space="preserve"> </w:t>
          </w:r>
          <w:r w:rsidR="0063679F" w:rsidRPr="0063679F">
            <w:rPr>
              <w:noProof/>
            </w:rPr>
            <w:t>[6]</w:t>
          </w:r>
          <w:r w:rsidR="002C5714">
            <w:fldChar w:fldCharType="end"/>
          </w:r>
        </w:sdtContent>
      </w:sdt>
      <w:r>
        <w:t xml:space="preserve">. </w:t>
      </w:r>
    </w:p>
    <w:p w14:paraId="21575F95" w14:textId="7C5FA89E" w:rsidR="00686032" w:rsidRDefault="00686032" w:rsidP="00686032">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detectors as opposed to photographic film which is used in conventional radiography. </w:t>
      </w:r>
      <w:r w:rsidR="001A5091">
        <w:t>Th</w:t>
      </w:r>
      <w:r w:rsidR="00061CF7">
        <w:t xml:space="preserve">is increased sensitivity gives the ability of detecting smaller changes in the </w:t>
      </w:r>
      <w:r w:rsidR="003919C0">
        <w:t>absorption values can be detected,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 xml:space="preserve">The detection system is connected to a computer, which is used to visualise these results, as opposed to traditional radiography which relied mainly on photographic film. </w:t>
      </w:r>
      <w:sdt>
        <w:sdtPr>
          <w:id w:val="1108702735"/>
          <w:citation/>
        </w:sdtPr>
        <w:sdtContent>
          <w:r w:rsidR="00C462C0">
            <w:fldChar w:fldCharType="begin"/>
          </w:r>
          <w:r w:rsidR="00C462C0">
            <w:instrText xml:space="preserve"> CITATION Arm09 \l 2057 </w:instrText>
          </w:r>
          <w:r w:rsidR="00C462C0">
            <w:fldChar w:fldCharType="separate"/>
          </w:r>
          <w:r w:rsidR="0063679F" w:rsidRPr="0063679F">
            <w:rPr>
              <w:noProof/>
            </w:rPr>
            <w:t>[7]</w:t>
          </w:r>
          <w:r w:rsidR="00C462C0">
            <w:fldChar w:fldCharType="end"/>
          </w:r>
        </w:sdtContent>
      </w:sdt>
      <w:r w:rsidR="00186BE1">
        <w:t xml:space="preserve"> Another important distinction between conventional radiography and CT is that while in the former a fixed x-ray tube is used, CT uses a motorised x-ray source that rotates around the circular opening through which the patient is passed,</w:t>
      </w:r>
      <w:r w:rsidR="00500A19">
        <w:t xml:space="preserve"> </w:t>
      </w:r>
      <w:r w:rsidR="00186BE1">
        <w:t>which is called the gantry</w:t>
      </w:r>
      <w:r w:rsidR="007763E8">
        <w:t>.</w:t>
      </w:r>
      <w:sdt>
        <w:sdtPr>
          <w:id w:val="1493218707"/>
          <w:citation/>
        </w:sdtPr>
        <w:sdtContent>
          <w:r w:rsidR="00500A19">
            <w:fldChar w:fldCharType="begin"/>
          </w:r>
          <w:r w:rsidR="00500A19">
            <w:instrText xml:space="preserve"> CITATION Comed \l 2057 </w:instrText>
          </w:r>
          <w:r w:rsidR="00500A19">
            <w:fldChar w:fldCharType="separate"/>
          </w:r>
          <w:r w:rsidR="0063679F">
            <w:rPr>
              <w:noProof/>
            </w:rPr>
            <w:t xml:space="preserve"> </w:t>
          </w:r>
          <w:r w:rsidR="0063679F" w:rsidRPr="0063679F">
            <w:rPr>
              <w:noProof/>
            </w:rPr>
            <w:t>[8]</w:t>
          </w:r>
          <w:r w:rsidR="00500A19">
            <w:fldChar w:fldCharType="end"/>
          </w:r>
        </w:sdtContent>
      </w:sdt>
    </w:p>
    <w:p w14:paraId="34E5B1E8" w14:textId="77777777" w:rsidR="00D22A9C" w:rsidRPr="00686032" w:rsidRDefault="00D22A9C" w:rsidP="00686032"/>
    <w:p w14:paraId="3592D005" w14:textId="14B7126E" w:rsidR="00C462C0" w:rsidRDefault="0005015B" w:rsidP="00C462C0">
      <w:pPr>
        <w:pStyle w:val="Heading3"/>
        <w:numPr>
          <w:ilvl w:val="2"/>
          <w:numId w:val="1"/>
        </w:numPr>
      </w:pPr>
      <w:r>
        <w:t>How CT works in general</w:t>
      </w:r>
    </w:p>
    <w:p w14:paraId="69845D9A" w14:textId="5417A31F" w:rsidR="000F7689" w:rsidRDefault="009E22F1" w:rsidP="009E22F1">
      <w:r>
        <w:t xml:space="preserve">When a CT scan is to be performed, the patient </w:t>
      </w:r>
      <w:r w:rsidR="00694517">
        <w:t xml:space="preserve">is placed </w:t>
      </w:r>
      <w:r w:rsidR="00F96F58">
        <w:t xml:space="preserve">such that the part to be examined is within the gantry, where the x-ray emitter tube and detector are placed, opposite one another. </w:t>
      </w:r>
      <w:sdt>
        <w:sdtPr>
          <w:id w:val="-751513154"/>
          <w:citation/>
        </w:sdtPr>
        <w:sdtContent>
          <w:r w:rsidR="00E967CC">
            <w:fldChar w:fldCharType="begin"/>
          </w:r>
          <w:r w:rsidR="00E967CC">
            <w:instrText xml:space="preserve"> CITATION Mired \l 2057 </w:instrText>
          </w:r>
          <w:r w:rsidR="00E967CC">
            <w:fldChar w:fldCharType="separate"/>
          </w:r>
          <w:r w:rsidR="0063679F" w:rsidRPr="0063679F">
            <w:rPr>
              <w:noProof/>
            </w:rPr>
            <w:t>[9]</w:t>
          </w:r>
          <w:r w:rsidR="00E967CC">
            <w:fldChar w:fldCharType="end"/>
          </w:r>
        </w:sdtContent>
      </w:sdt>
      <w:r w:rsidR="00E967CC">
        <w:t xml:space="preserve"> </w:t>
      </w:r>
      <w:r w:rsidR="00F96F58">
        <w:t>As the patient is passed through the gantry, the emitter and detector are quickly rotated, with the emitter producing a narrow x-ray beam. For every rotation, the data collected can form a cross-sectional image, known as a ‘slice’</w:t>
      </w:r>
      <w:r w:rsidR="000F7689">
        <w:t xml:space="preserve"> or section</w:t>
      </w:r>
      <w:r w:rsidR="00446267">
        <w:t xml:space="preserve">. The typical thickness of such </w:t>
      </w:r>
      <w:r w:rsidR="000F7689">
        <w:t>section</w:t>
      </w:r>
      <w:r w:rsidR="00446267">
        <w:t xml:space="preserve"> is between 1 and 10mm. given that multiple rotations are performed, </w:t>
      </w:r>
      <w:proofErr w:type="gramStart"/>
      <w:r w:rsidR="00446267">
        <w:t>a number of</w:t>
      </w:r>
      <w:proofErr w:type="gramEnd"/>
      <w:r w:rsidR="00446267">
        <w:t xml:space="preserve"> adjacent </w:t>
      </w:r>
      <w:r w:rsidR="000F7689">
        <w:t>sections</w:t>
      </w:r>
      <w:r w:rsidR="00446267">
        <w:t xml:space="preserve"> are obtained, which can then be digitally stacked to form a 3D image of the patient, which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63679F" w:rsidRPr="0063679F">
            <w:rPr>
              <w:noProof/>
            </w:rPr>
            <w:t>[8]</w:t>
          </w:r>
          <w:r w:rsidR="001D606A">
            <w:fldChar w:fldCharType="end"/>
          </w:r>
        </w:sdtContent>
      </w:sdt>
      <w:r w:rsidR="00653D32">
        <w:t xml:space="preserve"> The operator of the CT machine decides the thickness of each </w:t>
      </w:r>
      <w:r w:rsidR="000F7689">
        <w:t>section</w:t>
      </w:r>
      <w:r w:rsidR="00653D32">
        <w:t>,</w:t>
      </w:r>
      <w:r w:rsidR="000F7689">
        <w:t xml:space="preserve"> considering the trade-off between accuracy and number of sections. </w:t>
      </w:r>
    </w:p>
    <w:p w14:paraId="66AC443A" w14:textId="77777777" w:rsidR="00E630B9" w:rsidRDefault="00E630B9" w:rsidP="00E630B9">
      <w:pPr>
        <w:keepNext/>
        <w:jc w:val="center"/>
      </w:pPr>
      <w:r>
        <w:rPr>
          <w:noProof/>
        </w:rPr>
        <w:lastRenderedPageBreak/>
        <w:drawing>
          <wp:inline distT="0" distB="0" distL="0" distR="0" wp14:anchorId="15796407" wp14:editId="482C48AA">
            <wp:extent cx="3021330" cy="3808730"/>
            <wp:effectExtent l="0" t="0" r="7620" b="1270"/>
            <wp:docPr id="10" name="Picture 10" descr="https://img.tfd.com/mk/T/X2604-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tfd.com/mk/T/X2604-T-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1330" cy="3808730"/>
                    </a:xfrm>
                    <a:prstGeom prst="rect">
                      <a:avLst/>
                    </a:prstGeom>
                    <a:noFill/>
                    <a:ln>
                      <a:noFill/>
                    </a:ln>
                  </pic:spPr>
                </pic:pic>
              </a:graphicData>
            </a:graphic>
          </wp:inline>
        </w:drawing>
      </w:r>
    </w:p>
    <w:p w14:paraId="26CE046C" w14:textId="6DA46C72" w:rsidR="00E630B9" w:rsidRDefault="00E630B9" w:rsidP="00E630B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Principle of CT</w:t>
      </w:r>
      <w:sdt>
        <w:sdtPr>
          <w:id w:val="-297526067"/>
          <w:citation/>
        </w:sdtPr>
        <w:sdtContent>
          <w:r>
            <w:fldChar w:fldCharType="begin"/>
          </w:r>
          <w:r>
            <w:instrText xml:space="preserve"> CITATION Com18 \l 2057 </w:instrText>
          </w:r>
          <w:r>
            <w:fldChar w:fldCharType="separate"/>
          </w:r>
          <w:r w:rsidR="0063679F">
            <w:rPr>
              <w:noProof/>
            </w:rPr>
            <w:t xml:space="preserve"> </w:t>
          </w:r>
          <w:r w:rsidR="0063679F" w:rsidRPr="0063679F">
            <w:rPr>
              <w:noProof/>
            </w:rPr>
            <w:t>[10]</w:t>
          </w:r>
          <w:r>
            <w:fldChar w:fldCharType="end"/>
          </w:r>
        </w:sdtContent>
      </w:sdt>
    </w:p>
    <w:p w14:paraId="0F38995A" w14:textId="77777777" w:rsidR="004B2578" w:rsidRPr="004B2578" w:rsidRDefault="004B2578" w:rsidP="004B2578"/>
    <w:p w14:paraId="2BDC3CB9" w14:textId="67EC52E5" w:rsidR="004427EE" w:rsidRDefault="004427EE" w:rsidP="009E22F1">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63679F" w:rsidRPr="0063679F">
            <w:rPr>
              <w:noProof/>
            </w:rPr>
            <w:t>[7]</w:t>
          </w:r>
          <w:r w:rsidR="00FA676A">
            <w:fldChar w:fldCharType="end"/>
          </w:r>
        </w:sdtContent>
      </w:sdt>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r w:rsidR="00FA676A">
        <w:t>.</w:t>
      </w:r>
      <w:sdt>
        <w:sdtPr>
          <w:id w:val="459235909"/>
          <w:citation/>
        </w:sdtPr>
        <w:sdtContent>
          <w:r w:rsidR="00523B84">
            <w:fldChar w:fldCharType="begin"/>
          </w:r>
          <w:r w:rsidR="00523B84">
            <w:instrText xml:space="preserve"> CITATION Per18 \l 2057 </w:instrText>
          </w:r>
          <w:r w:rsidR="00523B84">
            <w:fldChar w:fldCharType="separate"/>
          </w:r>
          <w:r w:rsidR="0063679F">
            <w:rPr>
              <w:noProof/>
            </w:rPr>
            <w:t xml:space="preserve"> </w:t>
          </w:r>
          <w:r w:rsidR="0063679F" w:rsidRPr="0063679F">
            <w:rPr>
              <w:noProof/>
            </w:rPr>
            <w:t>[11]</w:t>
          </w:r>
          <w:r w:rsidR="00523B84">
            <w:fldChar w:fldCharType="end"/>
          </w:r>
        </w:sdtContent>
      </w:sdt>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because it was scanned at that position or via reconstruction. </w:t>
      </w:r>
      <w:r w:rsidR="00B90A68">
        <w:t xml:space="preserve">Furthermore, spiral scanning facilitates the </w:t>
      </w:r>
      <w:r w:rsidR="00B90A68">
        <w:lastRenderedPageBreak/>
        <w:t xml:space="preserve">reconstruction in 3D form and the possibility of reconstructing the image in a different plane. </w:t>
      </w:r>
      <w:sdt>
        <w:sdtPr>
          <w:id w:val="-1532410167"/>
          <w:citation/>
        </w:sdtPr>
        <w:sdtContent>
          <w:r w:rsidR="00B90A68">
            <w:fldChar w:fldCharType="begin"/>
          </w:r>
          <w:r w:rsidR="00B90A68">
            <w:instrText xml:space="preserve"> CITATION Arm09 \l 2057 </w:instrText>
          </w:r>
          <w:r w:rsidR="00B90A68">
            <w:fldChar w:fldCharType="separate"/>
          </w:r>
          <w:r w:rsidR="0063679F" w:rsidRPr="0063679F">
            <w:rPr>
              <w:noProof/>
            </w:rPr>
            <w:t>[7]</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63679F">
            <w:rPr>
              <w:noProof/>
            </w:rPr>
            <w:t xml:space="preserve"> </w:t>
          </w:r>
          <w:r w:rsidR="0063679F" w:rsidRPr="0063679F">
            <w:rPr>
              <w:noProof/>
            </w:rPr>
            <w:t>[11]</w:t>
          </w:r>
          <w:r w:rsidR="00B90A68">
            <w:fldChar w:fldCharType="end"/>
          </w:r>
        </w:sdtContent>
      </w:sdt>
      <w:r w:rsidR="004D421F">
        <w:t xml:space="preserve"> </w:t>
      </w:r>
    </w:p>
    <w:p w14:paraId="24201363" w14:textId="77777777" w:rsidR="00087031" w:rsidRDefault="00087031" w:rsidP="00087031">
      <w:pPr>
        <w:keepNext/>
        <w:jc w:val="center"/>
      </w:pPr>
      <w:r>
        <w:rPr>
          <w:noProof/>
        </w:rPr>
        <w:drawing>
          <wp:inline distT="0" distB="0" distL="0" distR="0" wp14:anchorId="0E88D481" wp14:editId="44285247">
            <wp:extent cx="3434715" cy="3752850"/>
            <wp:effectExtent l="0" t="0" r="0" b="0"/>
            <wp:docPr id="8" name="Picture 8" descr="https://clinicalgate.com/wp-content/uploads/2015/06/c00022_f022-003-9781455753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linicalgate.com/wp-content/uploads/2015/06/c00022_f022-003-978145575304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3752850"/>
                    </a:xfrm>
                    <a:prstGeom prst="rect">
                      <a:avLst/>
                    </a:prstGeom>
                    <a:noFill/>
                    <a:ln>
                      <a:noFill/>
                    </a:ln>
                  </pic:spPr>
                </pic:pic>
              </a:graphicData>
            </a:graphic>
          </wp:inline>
        </w:drawing>
      </w:r>
    </w:p>
    <w:p w14:paraId="5ACDCE8E" w14:textId="2951CD4D" w:rsidR="00087031" w:rsidRDefault="00087031" w:rsidP="00087031">
      <w:pPr>
        <w:pStyle w:val="Caption"/>
        <w:jc w:val="center"/>
      </w:pPr>
      <w:r>
        <w:t xml:space="preserve">Figure </w:t>
      </w:r>
      <w:r>
        <w:fldChar w:fldCharType="begin"/>
      </w:r>
      <w:r>
        <w:instrText xml:space="preserve"> SEQ Figure \* ARABIC </w:instrText>
      </w:r>
      <w:r>
        <w:fldChar w:fldCharType="separate"/>
      </w:r>
      <w:r w:rsidR="00E630B9">
        <w:rPr>
          <w:noProof/>
        </w:rPr>
        <w:t>3</w:t>
      </w:r>
      <w:r>
        <w:fldChar w:fldCharType="end"/>
      </w:r>
      <w:r>
        <w:t>: slice-by-slice conventional CT scanning (a) and spiral CT scanning</w:t>
      </w:r>
    </w:p>
    <w:p w14:paraId="423DC775" w14:textId="77777777" w:rsidR="004B2578" w:rsidRPr="004B2578" w:rsidRDefault="004B2578" w:rsidP="004B2578"/>
    <w:p w14:paraId="6FC07ED8" w14:textId="3E0A39A2" w:rsidR="00B70B2E" w:rsidRDefault="0005015B" w:rsidP="00500A19">
      <w:pPr>
        <w:pStyle w:val="Heading3"/>
        <w:numPr>
          <w:ilvl w:val="2"/>
          <w:numId w:val="1"/>
        </w:numPr>
      </w:pPr>
      <w:r>
        <w:t>Brain CT – how it works, what effects and under what circumstances it is to be used</w:t>
      </w:r>
    </w:p>
    <w:p w14:paraId="4DD8139B" w14:textId="4DC68B84" w:rsidR="00DD1EEA" w:rsidRDefault="000F11AD" w:rsidP="00500A19">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63679F" w:rsidRPr="0063679F">
            <w:rPr>
              <w:noProof/>
            </w:rPr>
            <w:t>[7]</w:t>
          </w:r>
          <w:r w:rsidR="00B70B2E">
            <w:fldChar w:fldCharType="end"/>
          </w:r>
        </w:sdtContent>
      </w:sdt>
      <w:r w:rsidR="00B70B2E">
        <w:t xml:space="preserve"> In CT scanning there are three planes along which a scan is performed, which are the axial, coronal and sagittal planes. With regards to brain CT scans, the most common axis chosen is the axial plane. Should other planes be required, in some cases they can be reconstructed from </w:t>
      </w:r>
      <w:r w:rsidR="0005223D">
        <w:t xml:space="preserve">the axial plane result set. </w:t>
      </w:r>
    </w:p>
    <w:p w14:paraId="62D8185F" w14:textId="77777777" w:rsidR="00DD1EEA" w:rsidRDefault="006A1F5A" w:rsidP="00DD1EEA">
      <w:pPr>
        <w:keepNext/>
      </w:pPr>
      <w:r>
        <w:rPr>
          <w:noProof/>
        </w:rPr>
        <w:lastRenderedPageBreak/>
        <w:drawing>
          <wp:inline distT="0" distB="0" distL="0" distR="0" wp14:anchorId="59798FC5" wp14:editId="35A35BAB">
            <wp:extent cx="5716928" cy="1508760"/>
            <wp:effectExtent l="0" t="0" r="0" b="0"/>
            <wp:docPr id="1" name="Picture 1" descr="http://prospect.rsc.org/metalsandlife/images/s347_b1_ch9_f06.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spect.rsc.org/metalsandlife/images/s347_b1_ch9_f06.ep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0" t="21698"/>
                    <a:stretch/>
                  </pic:blipFill>
                  <pic:spPr bwMode="auto">
                    <a:xfrm>
                      <a:off x="0" y="0"/>
                      <a:ext cx="5736329" cy="1513880"/>
                    </a:xfrm>
                    <a:prstGeom prst="rect">
                      <a:avLst/>
                    </a:prstGeom>
                    <a:noFill/>
                    <a:ln>
                      <a:noFill/>
                    </a:ln>
                    <a:extLst>
                      <a:ext uri="{53640926-AAD7-44D8-BBD7-CCE9431645EC}">
                        <a14:shadowObscured xmlns:a14="http://schemas.microsoft.com/office/drawing/2010/main"/>
                      </a:ext>
                    </a:extLst>
                  </pic:spPr>
                </pic:pic>
              </a:graphicData>
            </a:graphic>
          </wp:inline>
        </w:drawing>
      </w:r>
    </w:p>
    <w:p w14:paraId="62CBAF5C" w14:textId="414333B7" w:rsidR="006A1F5A" w:rsidRDefault="00DD1EEA" w:rsidP="00DD1EEA">
      <w:pPr>
        <w:pStyle w:val="Caption"/>
      </w:pPr>
      <w:r>
        <w:t xml:space="preserve">Figure </w:t>
      </w:r>
      <w:r>
        <w:fldChar w:fldCharType="begin"/>
      </w:r>
      <w:r>
        <w:instrText xml:space="preserve"> SEQ Figure \* ARABIC </w:instrText>
      </w:r>
      <w:r>
        <w:fldChar w:fldCharType="separate"/>
      </w:r>
      <w:r w:rsidR="00E630B9">
        <w:rPr>
          <w:noProof/>
        </w:rPr>
        <w:t>4</w:t>
      </w:r>
      <w:r>
        <w:fldChar w:fldCharType="end"/>
      </w:r>
      <w:r>
        <w:t>: axial (a), sagittal (b) and coronal (c) planes</w:t>
      </w:r>
      <w:sdt>
        <w:sdtPr>
          <w:id w:val="1060134481"/>
          <w:citation/>
        </w:sdtPr>
        <w:sdtContent>
          <w:r>
            <w:fldChar w:fldCharType="begin"/>
          </w:r>
          <w:r>
            <w:instrText xml:space="preserve"> CITATION Edu15 \l 2057 </w:instrText>
          </w:r>
          <w:r>
            <w:fldChar w:fldCharType="separate"/>
          </w:r>
          <w:r w:rsidR="0063679F">
            <w:rPr>
              <w:noProof/>
            </w:rPr>
            <w:t xml:space="preserve"> </w:t>
          </w:r>
          <w:r w:rsidR="0063679F" w:rsidRPr="0063679F">
            <w:rPr>
              <w:noProof/>
            </w:rPr>
            <w:t>[12]</w:t>
          </w:r>
          <w:r>
            <w:fldChar w:fldCharType="end"/>
          </w:r>
        </w:sdtContent>
      </w:sdt>
    </w:p>
    <w:p w14:paraId="52526733" w14:textId="62048899" w:rsidR="007F42C9" w:rsidRPr="007F42C9" w:rsidRDefault="007F42C9" w:rsidP="009F19CB">
      <w:r>
        <w:t xml:space="preserve">When analysing a CT scan for abnormalities, there are three main signs that one is present. These are abnormal tissue density, mass effect and enlargement of ventricles. Abnormal tissue density refers to areas in the brain tissue that have higher or lower densities, thus </w:t>
      </w:r>
      <w:proofErr w:type="gramStart"/>
      <w:r>
        <w:t>are seen as</w:t>
      </w:r>
      <w:proofErr w:type="gramEnd"/>
      <w:r>
        <w:t xml:space="preserve"> ligh</w:t>
      </w:r>
      <w:r w:rsidR="009A483C">
        <w:t>ter or darker,</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63679F">
            <w:rPr>
              <w:noProof/>
            </w:rPr>
            <w:t xml:space="preserve"> </w:t>
          </w:r>
          <w:r w:rsidR="0063679F" w:rsidRPr="0063679F">
            <w:rPr>
              <w:noProof/>
            </w:rPr>
            <w:t>[13]</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63679F" w:rsidRPr="0063679F">
            <w:rPr>
              <w:noProof/>
            </w:rPr>
            <w:t>[7]</w:t>
          </w:r>
          <w:r w:rsidR="003E55E2">
            <w:fldChar w:fldCharType="end"/>
          </w:r>
        </w:sdtContent>
      </w:sdt>
      <w:r w:rsidR="00C01105">
        <w:t xml:space="preserve">. </w:t>
      </w:r>
      <w:r w:rsidR="003E55E2">
        <w:t xml:space="preserve">Finally, an enlargement of ventricles can also show that an abnormality is present. </w:t>
      </w:r>
    </w:p>
    <w:p w14:paraId="48DC7AC0" w14:textId="4D4230E6" w:rsidR="00C3737F" w:rsidRPr="003E2E01" w:rsidRDefault="009F19CB" w:rsidP="003E2E01">
      <w:pPr>
        <w:rPr>
          <w:color w:val="FF0000"/>
        </w:rPr>
      </w:pPr>
      <w:r>
        <w:t xml:space="preserve">In CT </w:t>
      </w:r>
      <w:r w:rsidR="003E55E2">
        <w:t xml:space="preserve">scans, </w:t>
      </w:r>
      <w:r>
        <w:t>a fresh bleed is characterised by an area of very high intensity, and possibly surrounded by a low-density area</w:t>
      </w:r>
      <w:r w:rsidR="003E55E2">
        <w:t>, known as oedema</w:t>
      </w:r>
      <w:r>
        <w:t xml:space="preserve"> due to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63679F" w:rsidRPr="0063679F">
            <w:rPr>
              <w:noProof/>
            </w:rPr>
            <w:t>[7]</w:t>
          </w:r>
          <w:r w:rsidR="003E55E2">
            <w:fldChar w:fldCharType="end"/>
          </w:r>
        </w:sdtContent>
      </w:sdt>
      <w:r w:rsidR="00CE152D">
        <w:t xml:space="preserve">. </w:t>
      </w:r>
      <w:r w:rsidR="00F90D01">
        <w:t>CT scans will help determine if the patient requires immediate surgery, or if the same surgery is of no use, and potentially even more harmful, indicating the importance of correct diagnosis.</w:t>
      </w:r>
      <w:r w:rsidR="003C0CE9" w:rsidRPr="003C0CE9">
        <w:t xml:space="preserve"> </w:t>
      </w:r>
      <w:r w:rsidR="003C0CE9">
        <w:t>CT scans, albeit being the best initial way of detecting these bleeds, can only visualise the largest aneurysms, which are usually the source of such bleeds, and in terms of haemorrhage type this is by far the most di</w:t>
      </w:r>
      <w:r w:rsidR="005A7CC4">
        <w:t>ffi</w:t>
      </w:r>
      <w:r w:rsidR="003C0CE9">
        <w:t xml:space="preserve">cult to detect. </w:t>
      </w:r>
    </w:p>
    <w:p w14:paraId="4CD1A08E" w14:textId="72DE8EC7"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63679F" w:rsidRPr="0063679F">
            <w:rPr>
              <w:noProof/>
            </w:rPr>
            <w:t>[14]</w:t>
          </w:r>
          <w:r w:rsidR="003E2E01">
            <w:fldChar w:fldCharType="end"/>
          </w:r>
        </w:sdtContent>
      </w:sdt>
    </w:p>
    <w:p w14:paraId="094263CA" w14:textId="77777777" w:rsidR="004B2578" w:rsidRPr="005A7CC4" w:rsidRDefault="004B2578" w:rsidP="009F19CB"/>
    <w:p w14:paraId="0CDA4544" w14:textId="41EE028B" w:rsidR="002D3A4A" w:rsidRDefault="002D3A4A" w:rsidP="002D3A4A">
      <w:pPr>
        <w:pStyle w:val="Heading1"/>
        <w:numPr>
          <w:ilvl w:val="0"/>
          <w:numId w:val="1"/>
        </w:numPr>
      </w:pPr>
      <w:r>
        <w:lastRenderedPageBreak/>
        <w:t>Computer aided diagnos</w:t>
      </w:r>
      <w:r w:rsidR="004C335D">
        <w:t>i</w:t>
      </w:r>
      <w:r>
        <w:t>s – brief overview and developments</w:t>
      </w:r>
    </w:p>
    <w:p w14:paraId="2C9FF58E" w14:textId="1223DF35"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w:t>
      </w:r>
      <w:proofErr w:type="gramStart"/>
      <w:r w:rsidR="001C4911">
        <w:t>particular field</w:t>
      </w:r>
      <w:proofErr w:type="gramEnd"/>
      <w:r w:rsidR="001C4911">
        <w:t xml:space="preserve">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t>
      </w:r>
      <w:proofErr w:type="gramStart"/>
      <w:r w:rsidR="00CA1D91" w:rsidRPr="00B71801">
        <w:t>whether or not</w:t>
      </w:r>
      <w:proofErr w:type="gramEnd"/>
      <w:r w:rsidR="00CA1D91" w:rsidRPr="00B71801">
        <w:t xml:space="preserve"> there is the pathology being tested for. </w:t>
      </w:r>
      <w:r w:rsidR="00CA1D91">
        <w:t>With the use of such software, there can be cases where the radiologist did not spot a problem</w:t>
      </w:r>
      <w:r w:rsidR="007B2B94">
        <w:t>,</w:t>
      </w:r>
      <w:r w:rsidR="00CA1D91">
        <w:t xml:space="preserve"> yet the computer detected a region of concern, thus possibly giving a better diagnosis.</w:t>
      </w:r>
      <w:r w:rsidR="009B3F84">
        <w:t xml:space="preserve"> Considering the way CAD works, one can note that the concept of the system is to put equal weight on the computer result and the role of physicians and radiologists, without having one undermining the other, to reach </w:t>
      </w:r>
      <w:proofErr w:type="gramStart"/>
      <w:r w:rsidR="009B3F84">
        <w:t>a final conclusion</w:t>
      </w:r>
      <w:proofErr w:type="gramEnd"/>
      <w:r w:rsidR="009B3F84">
        <w:t xml:space="preserve">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63679F">
            <w:rPr>
              <w:noProof/>
            </w:rPr>
            <w:t xml:space="preserve"> </w:t>
          </w:r>
          <w:r w:rsidR="0063679F" w:rsidRPr="0063679F">
            <w:rPr>
              <w:noProof/>
            </w:rPr>
            <w:t>[15]</w:t>
          </w:r>
          <w:r w:rsidR="00A41301">
            <w:fldChar w:fldCharType="end"/>
          </w:r>
        </w:sdtContent>
      </w:sdt>
      <w:r w:rsidR="00A41301">
        <w:t>.</w:t>
      </w:r>
    </w:p>
    <w:p w14:paraId="0C525355" w14:textId="1F3395C0" w:rsidR="00DF40D7" w:rsidRDefault="00DF40D7" w:rsidP="00796817">
      <w:r>
        <w:t xml:space="preserve">Although CAD has been popularised as a research area only recently, it has been around, in different forms, for quite some time. The history of computers as tools for diagnosis </w:t>
      </w:r>
      <w:proofErr w:type="gramStart"/>
      <w:r>
        <w:t>dates back to</w:t>
      </w:r>
      <w:proofErr w:type="gramEnd"/>
      <w:r>
        <w:t xml:space="preserve"> the 1960s, where the notion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proofErr w:type="gramStart"/>
      <w:r>
        <w:t>a number of</w:t>
      </w:r>
      <w:proofErr w:type="gramEnd"/>
      <w:r>
        <w:t xml:space="preserve"> factors, including the lack of sufficient computing power at the time, lack of advanced image-processing techniques and the lack of access to digital medical images. Overall, at the time, too much was being expected from computers, which led to the notion losing popularity and being deemed as unfeasible and impossible. </w:t>
      </w:r>
    </w:p>
    <w:p w14:paraId="1904B248" w14:textId="7CE69E23"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w:t>
      </w:r>
      <w:r w:rsidR="00932A34">
        <w:lastRenderedPageBreak/>
        <w:t xml:space="preserve">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w:t>
      </w:r>
      <w:proofErr w:type="gramStart"/>
      <w:r w:rsidR="00932A34">
        <w:t>both of these</w:t>
      </w:r>
      <w:proofErr w:type="gramEnd"/>
      <w:r w:rsidR="00932A34">
        <w:t xml:space="preserve"> factors are required to be very high, that is comparable or higher than that of radiologists, but given that the performance level of radiologists and physicians is much higher than that of a computer, in CAD lower specificity and sensitivity is allowed, since it is being combined with the radiologist’s knowledge. </w:t>
      </w:r>
      <w:sdt>
        <w:sdtPr>
          <w:id w:val="403804479"/>
          <w:citation/>
        </w:sdtPr>
        <w:sdtContent>
          <w:r w:rsidR="00490239">
            <w:fldChar w:fldCharType="begin"/>
          </w:r>
          <w:r w:rsidR="00490239">
            <w:instrText xml:space="preserve"> CITATION Doi07 \l 2057 </w:instrText>
          </w:r>
          <w:r w:rsidR="00490239">
            <w:fldChar w:fldCharType="separate"/>
          </w:r>
          <w:r w:rsidR="0063679F" w:rsidRPr="0063679F">
            <w:rPr>
              <w:noProof/>
            </w:rPr>
            <w:t>[15]</w:t>
          </w:r>
          <w:r w:rsidR="00490239">
            <w:fldChar w:fldCharType="end"/>
          </w:r>
        </w:sdtContent>
      </w:sdt>
    </w:p>
    <w:p w14:paraId="531B2867" w14:textId="2B0B29FC"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001453">
            <w:instrText xml:space="preserve"> CITATION PRa17 \l 2057 </w:instrText>
          </w:r>
          <w:r w:rsidR="00001453">
            <w:fldChar w:fldCharType="separate"/>
          </w:r>
          <w:r w:rsidR="0063679F" w:rsidRPr="0063679F">
            <w:rPr>
              <w:noProof/>
            </w:rPr>
            <w:t>[16]</w:t>
          </w:r>
          <w:r w:rsidR="00001453">
            <w:fldChar w:fldCharType="end"/>
          </w:r>
        </w:sdtContent>
      </w:sdt>
      <w:sdt>
        <w:sdtPr>
          <w:id w:val="1841967726"/>
          <w:citation/>
        </w:sdtPr>
        <w:sdtContent>
          <w:r w:rsidR="00001453">
            <w:fldChar w:fldCharType="begin"/>
          </w:r>
          <w:r w:rsidR="00001453">
            <w:instrText xml:space="preserve"> CITATION VKu17 \l 2057 </w:instrText>
          </w:r>
          <w:r w:rsidR="00001453">
            <w:fldChar w:fldCharType="separate"/>
          </w:r>
          <w:r w:rsidR="0063679F">
            <w:rPr>
              <w:noProof/>
            </w:rPr>
            <w:t xml:space="preserve"> </w:t>
          </w:r>
          <w:r w:rsidR="0063679F" w:rsidRPr="0063679F">
            <w:rPr>
              <w:noProof/>
            </w:rPr>
            <w:t>[17]</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EE1DE2">
            <w:instrText xml:space="preserve"> CITATION AKA17 \l 2057 </w:instrText>
          </w:r>
          <w:r w:rsidR="00EE1DE2">
            <w:fldChar w:fldCharType="separate"/>
          </w:r>
          <w:r w:rsidR="0063679F" w:rsidRPr="0063679F">
            <w:rPr>
              <w:noProof/>
            </w:rPr>
            <w:t>[18]</w:t>
          </w:r>
          <w:r w:rsidR="00EE1DE2">
            <w:fldChar w:fldCharType="end"/>
          </w:r>
        </w:sdtContent>
      </w:sdt>
      <w:sdt>
        <w:sdtPr>
          <w:id w:val="516052430"/>
          <w:citation/>
        </w:sdtPr>
        <w:sdtContent>
          <w:r w:rsidR="00EE1DE2">
            <w:fldChar w:fldCharType="begin"/>
          </w:r>
          <w:r w:rsidR="00EE1DE2">
            <w:instrText xml:space="preserve"> CITATION Cho17 \l 2057 </w:instrText>
          </w:r>
          <w:r w:rsidR="00EE1DE2">
            <w:fldChar w:fldCharType="separate"/>
          </w:r>
          <w:r w:rsidR="0063679F">
            <w:rPr>
              <w:noProof/>
            </w:rPr>
            <w:t xml:space="preserve"> </w:t>
          </w:r>
          <w:r w:rsidR="0063679F" w:rsidRPr="0063679F">
            <w:rPr>
              <w:noProof/>
            </w:rPr>
            <w:t>[19]</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532E3CDB" w14:textId="58C9B406" w:rsidR="003D0501" w:rsidRDefault="00BE3A18" w:rsidP="00743AFF">
      <w:pPr>
        <w:pStyle w:val="Heading1"/>
        <w:numPr>
          <w:ilvl w:val="0"/>
          <w:numId w:val="1"/>
        </w:numPr>
      </w:pPr>
      <w:r>
        <w:t xml:space="preserve">Image segmentation, thresholding, </w:t>
      </w:r>
      <w:proofErr w:type="spellStart"/>
      <w:r>
        <w:t>preprocessing</w:t>
      </w:r>
      <w:proofErr w:type="spellEnd"/>
    </w:p>
    <w:p w14:paraId="1F0FCD82" w14:textId="32EC7E4B" w:rsidR="00BE3A18" w:rsidRPr="00BE3A18" w:rsidRDefault="00BE3A18" w:rsidP="00BE3A18">
      <w:pPr>
        <w:rPr>
          <w:color w:val="FF0000"/>
        </w:rPr>
      </w:pPr>
      <w:r>
        <w:rPr>
          <w:color w:val="FF0000"/>
        </w:rPr>
        <w:t>Show process of how image is segmented – overview of what john did</w:t>
      </w:r>
      <w:bookmarkStart w:id="0" w:name="_GoBack"/>
      <w:bookmarkEnd w:id="0"/>
    </w:p>
    <w:p w14:paraId="0F9C16BD" w14:textId="77777777" w:rsidR="0005015B" w:rsidRDefault="0005015B" w:rsidP="0005015B">
      <w:pPr>
        <w:pStyle w:val="Heading1"/>
        <w:numPr>
          <w:ilvl w:val="0"/>
          <w:numId w:val="1"/>
        </w:numPr>
      </w:pPr>
      <w:r>
        <w:t>Technological Aspect</w:t>
      </w:r>
    </w:p>
    <w:p w14:paraId="266EC4BF" w14:textId="7E44DDC9" w:rsidR="002D647F" w:rsidRPr="002D647F" w:rsidRDefault="002D647F" w:rsidP="002D647F">
      <w:pPr>
        <w:pStyle w:val="Heading2"/>
        <w:numPr>
          <w:ilvl w:val="1"/>
          <w:numId w:val="1"/>
        </w:numPr>
      </w:pPr>
      <w:r>
        <w:t>Machine Learning</w:t>
      </w:r>
    </w:p>
    <w:p w14:paraId="121DEC2B" w14:textId="5EEC6B0C" w:rsidR="0073417D" w:rsidRDefault="003404C1" w:rsidP="00C45E09">
      <w:r>
        <w:t xml:space="preserve">Machine learning is defined as “an application of Artificial Intelligence (AI) that provides systems with the ability to automatically learn and improve from experience without being explicitly programmed” </w:t>
      </w:r>
      <w:sdt>
        <w:sdtPr>
          <w:id w:val="158972502"/>
          <w:citation/>
        </w:sdtPr>
        <w:sdtContent>
          <w:r>
            <w:fldChar w:fldCharType="begin"/>
          </w:r>
          <w:r>
            <w:instrText xml:space="preserve"> CITATION Wha18 \l 2057 </w:instrText>
          </w:r>
          <w:r>
            <w:fldChar w:fldCharType="separate"/>
          </w:r>
          <w:r w:rsidR="0063679F" w:rsidRPr="0063679F">
            <w:rPr>
              <w:noProof/>
            </w:rPr>
            <w:t>[20]</w:t>
          </w:r>
          <w:r>
            <w:fldChar w:fldCharType="end"/>
          </w:r>
        </w:sdtContent>
      </w:sdt>
      <w:r>
        <w:t>. In this area of computing, the main aim is to design software that uses a given dataset to learn and adapt itself without being hardcoded</w:t>
      </w:r>
      <w:r w:rsidR="00117E40">
        <w:t xml:space="preserve"> to do so</w:t>
      </w:r>
      <w:r>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12A1B9B" w:rsidR="00F9125E" w:rsidRDefault="00F9125E" w:rsidP="00C45E09">
      <w:r>
        <w:t xml:space="preserve">In supervised machine learning algorithms, the training dataset is clearly labelled, in the sense that for a given set of input parameters, the expected produced output is known. When the training data is fed to the algorithm, the learning algorithm develops a function that produces predictions of the output values. These predictions are then compared to the expected outputs </w:t>
      </w:r>
      <w:r>
        <w:lastRenderedPageBreak/>
        <w:t>to find errors and correct the developed model accordingly.</w:t>
      </w:r>
      <w:r w:rsidR="00EB3DC1">
        <w:t xml:space="preserve"> This model is more widely used, and the majority of practical machine learning techniques use supervised learning.</w:t>
      </w:r>
    </w:p>
    <w:p w14:paraId="62D4B58E" w14:textId="77777777" w:rsidR="00710BF8" w:rsidRDefault="00F9125E" w:rsidP="00C45E09">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thus this technique is mainly used to learn more about the data being fed to the system. These algorithms can be looked at as algorithms that solve problems in relation to clustering and association. Clustering problems are ones where the desired information to be found out is related to the way data is grouped according to characteristics present in the data itself</w:t>
      </w:r>
      <w:r w:rsidR="00F741B1">
        <w:t xml:space="preserve">, whereas association rule learning problems are ones where the target result is to discover rules that describe large portions of data, such as </w:t>
      </w:r>
      <w:r w:rsidR="004F4F93">
        <w:t xml:space="preserve">the tendency of a customer viewing item </w:t>
      </w:r>
      <w:r w:rsidR="00B32E08">
        <w:t>A</w:t>
      </w:r>
      <w:r w:rsidR="004F4F93">
        <w:t xml:space="preserve"> clicking and </w:t>
      </w:r>
      <w:r w:rsidR="006A1645">
        <w:t>viewing</w:t>
      </w:r>
      <w:r w:rsidR="004F4F93">
        <w:t xml:space="preserve"> item </w:t>
      </w:r>
      <w:r w:rsidR="00B32E08">
        <w:t>B</w:t>
      </w:r>
      <w:r w:rsidR="004F4F93">
        <w:t>.</w:t>
      </w:r>
      <w:r w:rsidR="00710BF8">
        <w:t xml:space="preserve"> </w:t>
      </w:r>
    </w:p>
    <w:p w14:paraId="71F82BA8" w14:textId="5AE07256" w:rsidR="00F9125E" w:rsidRDefault="0063679F" w:rsidP="0063679F">
      <w:r>
        <w:t xml:space="preserve">In real applications however, the </w:t>
      </w:r>
      <w:proofErr w:type="gramStart"/>
      <w:r>
        <w:t>vast majority</w:t>
      </w:r>
      <w:proofErr w:type="gramEnd"/>
      <w:r>
        <w:t xml:space="preserve"> of machine learning systems incorporate a combination of these two techniques. In these applications, which are referred to as semi-supervised learning, there is a large volume of input data, with only a small subset being labelled. These applications were built given that the process of labelling all the input data is highly time-consuming and can potentially be expensive if the data labelling process requires 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8D25E1">
            <w:rPr>
              <w:noProof/>
            </w:rPr>
            <w:t xml:space="preserve"> </w:t>
          </w:r>
          <w:r w:rsidR="008D25E1" w:rsidRPr="008D25E1">
            <w:rPr>
              <w:noProof/>
            </w:rPr>
            <w:t>[21]</w:t>
          </w:r>
          <w:r w:rsidR="008D25E1">
            <w:fldChar w:fldCharType="end"/>
          </w:r>
        </w:sdtContent>
      </w:sdt>
      <w:r w:rsidR="00402761">
        <w:t>.</w:t>
      </w:r>
    </w:p>
    <w:p w14:paraId="6F8F4174" w14:textId="6B9F12D2" w:rsidR="00B90E0C" w:rsidRDefault="00B90E0C" w:rsidP="0063679F">
      <w:r>
        <w:t>The fourth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8A07C8">
            <w:rPr>
              <w:noProof/>
            </w:rPr>
            <w:t xml:space="preserve"> </w:t>
          </w:r>
          <w:r w:rsidR="008A07C8" w:rsidRPr="008A07C8">
            <w:rPr>
              <w:noProof/>
            </w:rPr>
            <w:t>[20]</w:t>
          </w:r>
          <w:r w:rsidR="008A07C8">
            <w:fldChar w:fldCharType="end"/>
          </w:r>
        </w:sdtContent>
      </w:sdt>
      <w:r w:rsidR="00FF5D23">
        <w:t>.</w:t>
      </w:r>
    </w:p>
    <w:p w14:paraId="10FD9FFB" w14:textId="77777777" w:rsidR="00402761" w:rsidRDefault="00402761" w:rsidP="0063679F"/>
    <w:p w14:paraId="2DF64647" w14:textId="77777777" w:rsidR="002D647F" w:rsidRDefault="002D647F" w:rsidP="00C45E09"/>
    <w:p w14:paraId="55D5315C" w14:textId="6536678D" w:rsidR="002D647F" w:rsidRDefault="002D647F" w:rsidP="002D647F">
      <w:pPr>
        <w:pStyle w:val="Heading2"/>
        <w:numPr>
          <w:ilvl w:val="1"/>
          <w:numId w:val="1"/>
        </w:numPr>
      </w:pPr>
      <w:r>
        <w:lastRenderedPageBreak/>
        <w:t>Classification</w:t>
      </w:r>
    </w:p>
    <w:p w14:paraId="732F866E" w14:textId="73B5AD8C" w:rsidR="002D647F" w:rsidRDefault="002D647F" w:rsidP="002D647F">
      <w:r>
        <w:t xml:space="preserve">Classification is the task of labelling data from a set into one of many subsets or classes. This technique can be applied to different data types, such as images, audio and text. </w:t>
      </w:r>
      <w:r w:rsidR="00461B0E">
        <w:t xml:space="preserve">While classification </w:t>
      </w:r>
      <w:proofErr w:type="gramStart"/>
      <w:r w:rsidR="00461B0E">
        <w:t>is considered to be</w:t>
      </w:r>
      <w:proofErr w:type="gramEnd"/>
      <w:r w:rsidR="00461B0E">
        <w:t xml:space="preserve"> a relatively easy task for the human being, it has probed to be quite a challenging task for machines, given the complexity of the problem in itself. However, with the increase of prog</w:t>
      </w:r>
      <w:r w:rsidR="0056593B">
        <w:t xml:space="preserve">ramming power, classifiers have gained more popularity and performance power, which is leading to them being used in more applications. </w:t>
      </w:r>
    </w:p>
    <w:p w14:paraId="4F19C6AC" w14:textId="77777777" w:rsidR="00361D09" w:rsidRDefault="0056593B" w:rsidP="002D647F">
      <w:r>
        <w:t>Image classification</w:t>
      </w:r>
      <w:proofErr w:type="gramStart"/>
      <w:r>
        <w:t>, in particular, refers</w:t>
      </w:r>
      <w:proofErr w:type="gramEnd"/>
      <w:r>
        <w:t xml:space="preserve"> to the task of extracting information from </w:t>
      </w:r>
      <w:r w:rsidR="00BB50E1">
        <w:t xml:space="preserve">a raster image, and categorising all pixels in an image into one of multiple classes. The whole concept of image classification is mapping regions of an image to </w:t>
      </w:r>
      <w:proofErr w:type="gramStart"/>
      <w:r w:rsidR="00BB50E1">
        <w:t>particular predefined</w:t>
      </w:r>
      <w:proofErr w:type="gramEnd"/>
      <w:r w:rsidR="00BB50E1">
        <w:t xml:space="preserve">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classification techniques include support vector machines (SVMs) and Neural Networks (NNs). </w:t>
      </w:r>
    </w:p>
    <w:p w14:paraId="4AE1443A" w14:textId="58A7204C" w:rsidR="006A278A" w:rsidRDefault="00361D09" w:rsidP="002D647F">
      <w:r>
        <w:t xml:space="preserve">In most applications, supervised classification algorithms are applied, either on its own or as the training potion of the classifier design.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3D1E7F55" w14:textId="67499BCE" w:rsidR="00361D09" w:rsidRDefault="00361D09" w:rsidP="002D647F">
      <w:r w:rsidRPr="00361D09">
        <w:rPr>
          <w:color w:val="FF0000"/>
        </w:rPr>
        <w:t>[</w:t>
      </w:r>
      <w:r>
        <w:rPr>
          <w:color w:val="FF0000"/>
        </w:rPr>
        <w:t>possibility to mention more – elaborate on these algorithms and the way they work</w:t>
      </w:r>
      <w:r w:rsidRPr="00361D09">
        <w:rPr>
          <w:color w:val="FF0000"/>
        </w:rPr>
        <w:t>]</w:t>
      </w:r>
    </w:p>
    <w:p w14:paraId="02725108" w14:textId="53F1D1B7" w:rsidR="00AA1799" w:rsidRDefault="00AA1799" w:rsidP="002D647F"/>
    <w:p w14:paraId="7F074EF7" w14:textId="2460ADE9" w:rsidR="00AA1799" w:rsidRDefault="00AA1799" w:rsidP="00AA1799">
      <w:r>
        <w:t xml:space="preserve">There are various classifier types that can be used for this application. The main types of classifiers can be divided into different categories such as linear classifiers, such as Naive Bayes,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5A7DF5C4" w:rsidR="001701D1" w:rsidRPr="002D647F" w:rsidRDefault="001701D1" w:rsidP="001701D1">
      <w:r>
        <w:t xml:space="preserve">Apart from choosing the classification algorithm, another decision needs to be made with regards to the evaluation methods. These methods give an estimate to the performance of the classifier by measuring the error rate. These methods describe how to use the currently </w:t>
      </w:r>
      <w:r>
        <w:lastRenderedPageBreak/>
        <w:t>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D83739">
            <w:rPr>
              <w:noProof/>
            </w:rPr>
            <w:t xml:space="preserve"> </w:t>
          </w:r>
          <w:r w:rsidR="00D83739" w:rsidRPr="00D83739">
            <w:rPr>
              <w:noProof/>
            </w:rPr>
            <w:t>[22]</w:t>
          </w:r>
          <w:r w:rsidR="00D83739">
            <w:fldChar w:fldCharType="end"/>
          </w:r>
        </w:sdtContent>
      </w:sdt>
      <w:r>
        <w:t>.</w:t>
      </w:r>
    </w:p>
    <w:p w14:paraId="7A408682" w14:textId="77777777" w:rsidR="0005015B" w:rsidRDefault="0005015B" w:rsidP="0005015B">
      <w:pPr>
        <w:pStyle w:val="Heading2"/>
        <w:numPr>
          <w:ilvl w:val="1"/>
          <w:numId w:val="1"/>
        </w:numPr>
      </w:pPr>
      <w:r>
        <w:t>Medical classifiers – what is currently being used and for what</w:t>
      </w:r>
    </w:p>
    <w:p w14:paraId="1875302D" w14:textId="77777777" w:rsidR="0005015B" w:rsidRDefault="0005015B" w:rsidP="0005015B">
      <w:pPr>
        <w:pStyle w:val="Heading2"/>
        <w:numPr>
          <w:ilvl w:val="1"/>
          <w:numId w:val="1"/>
        </w:numPr>
      </w:pPr>
      <w:r>
        <w:t>Classification of brain haemorrhage</w:t>
      </w:r>
    </w:p>
    <w:p w14:paraId="62C5E711" w14:textId="77777777" w:rsidR="00C12DD6" w:rsidRDefault="00C12DD6" w:rsidP="0005015B">
      <w:pPr>
        <w:pStyle w:val="Heading3"/>
        <w:numPr>
          <w:ilvl w:val="2"/>
          <w:numId w:val="1"/>
        </w:numPr>
      </w:pPr>
      <w:r>
        <w:t>What types of classifiers have been built to classify brain haemorrhage for CT scans</w:t>
      </w:r>
    </w:p>
    <w:p w14:paraId="5D3E6445" w14:textId="77777777" w:rsidR="00C12DD6" w:rsidRDefault="00C12DD6" w:rsidP="00C12DD6">
      <w:pPr>
        <w:pStyle w:val="Heading3"/>
        <w:numPr>
          <w:ilvl w:val="2"/>
          <w:numId w:val="1"/>
        </w:numPr>
      </w:pPr>
      <w:r>
        <w:t xml:space="preserve">What types of classifiers have been built to classify brain haemorrhage for other scanning techniques such as MRI </w:t>
      </w:r>
    </w:p>
    <w:p w14:paraId="3D9996E4" w14:textId="7A487D6F" w:rsidR="00C12DD6" w:rsidRDefault="00C12DD6" w:rsidP="00BE0817">
      <w:pPr>
        <w:pStyle w:val="Heading2"/>
        <w:numPr>
          <w:ilvl w:val="1"/>
          <w:numId w:val="1"/>
        </w:numPr>
      </w:pPr>
      <w:r>
        <w:t>Previously developed systems</w:t>
      </w:r>
    </w:p>
    <w:p w14:paraId="4A01078E" w14:textId="58A26402" w:rsidR="001701D1" w:rsidRPr="001701D1" w:rsidRDefault="001701D1" w:rsidP="001701D1">
      <w:r>
        <w:t xml:space="preserve">the two most common classifiers used in Brain CT scan classification are the K-Nearest Neighbour Classifier and the Artificial Neural Network. </w:t>
      </w:r>
    </w:p>
    <w:p w14:paraId="483E6AEA" w14:textId="77777777" w:rsidR="00C12DD6" w:rsidRDefault="00C12DD6" w:rsidP="00C12DD6">
      <w:pPr>
        <w:pStyle w:val="Heading3"/>
        <w:numPr>
          <w:ilvl w:val="2"/>
          <w:numId w:val="1"/>
        </w:numPr>
      </w:pPr>
      <w:r>
        <w:t xml:space="preserve">Accuracy of classification based on techniques </w:t>
      </w:r>
    </w:p>
    <w:p w14:paraId="1D9874CB" w14:textId="77777777" w:rsidR="00C12DD6" w:rsidRDefault="00C12DD6" w:rsidP="00C12DD6">
      <w:pPr>
        <w:pStyle w:val="Heading3"/>
        <w:numPr>
          <w:ilvl w:val="2"/>
          <w:numId w:val="1"/>
        </w:numPr>
      </w:pPr>
      <w:r>
        <w:t>Possible implementations / improvements on what has already been developed</w:t>
      </w:r>
    </w:p>
    <w:p w14:paraId="7CC544CB" w14:textId="77777777" w:rsidR="00796817" w:rsidRPr="00796817" w:rsidRDefault="00796817" w:rsidP="00796817"/>
    <w:p w14:paraId="36ED10AA" w14:textId="77777777" w:rsidR="00C12DD6" w:rsidRDefault="00C12DD6" w:rsidP="00BE0817">
      <w:pPr>
        <w:pStyle w:val="Heading1"/>
        <w:numPr>
          <w:ilvl w:val="0"/>
          <w:numId w:val="1"/>
        </w:numPr>
      </w:pPr>
      <w:r>
        <w:t>Conclusion</w:t>
      </w:r>
    </w:p>
    <w:p w14:paraId="3FA51968" w14:textId="77777777" w:rsidR="00C12DD6" w:rsidRDefault="00C12DD6" w:rsidP="00BE0817">
      <w:pPr>
        <w:pStyle w:val="Heading2"/>
        <w:numPr>
          <w:ilvl w:val="1"/>
          <w:numId w:val="1"/>
        </w:numPr>
      </w:pPr>
      <w:r>
        <w:t>What has been found</w:t>
      </w:r>
    </w:p>
    <w:p w14:paraId="3BCC87D8" w14:textId="0443EE69" w:rsidR="007C32F6" w:rsidRDefault="00B7326B" w:rsidP="00BE0817">
      <w:pPr>
        <w:pStyle w:val="Heading2"/>
        <w:numPr>
          <w:ilvl w:val="1"/>
          <w:numId w:val="1"/>
        </w:numPr>
      </w:pPr>
      <w:r>
        <w:t>Criticism of current techniques and highlights of possible implementations</w:t>
      </w:r>
      <w:r w:rsidR="00C12DD6">
        <w:t xml:space="preserve"> </w:t>
      </w:r>
    </w:p>
    <w:p w14:paraId="4688AC39" w14:textId="2032029C" w:rsidR="00CE152D" w:rsidRDefault="00CE152D">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sdt>
      <w:sdtPr>
        <w:rPr>
          <w:rFonts w:ascii="Times New Roman" w:eastAsiaTheme="minorHAnsi" w:hAnsi="Times New Roman" w:cstheme="minorBidi"/>
          <w:color w:val="auto"/>
          <w:sz w:val="20"/>
          <w:szCs w:val="20"/>
        </w:rPr>
        <w:id w:val="951121644"/>
        <w:docPartObj>
          <w:docPartGallery w:val="Bibliographies"/>
          <w:docPartUnique/>
        </w:docPartObj>
      </w:sdtPr>
      <w:sdtContent>
        <w:p w14:paraId="0E038D50" w14:textId="1E1EBD7D" w:rsidR="00CE152D" w:rsidRPr="0063679F" w:rsidRDefault="00CE152D">
          <w:pPr>
            <w:pStyle w:val="Heading1"/>
            <w:rPr>
              <w:szCs w:val="20"/>
            </w:rPr>
          </w:pPr>
          <w:r w:rsidRPr="0063679F">
            <w:rPr>
              <w:szCs w:val="20"/>
            </w:rPr>
            <w:t>Bibliography</w:t>
          </w:r>
        </w:p>
        <w:sdt>
          <w:sdtPr>
            <w:rPr>
              <w:sz w:val="20"/>
              <w:szCs w:val="20"/>
            </w:rPr>
            <w:id w:val="111145805"/>
            <w:bibliography/>
          </w:sdtPr>
          <w:sdtContent>
            <w:p w14:paraId="5175E9C1" w14:textId="77777777" w:rsidR="0063679F" w:rsidRPr="0063679F" w:rsidRDefault="00CE152D">
              <w:pPr>
                <w:rPr>
                  <w:rFonts w:asciiTheme="minorHAnsi" w:hAnsiTheme="minorHAnsi"/>
                  <w:noProof/>
                  <w:sz w:val="20"/>
                  <w:szCs w:val="20"/>
                </w:rPr>
              </w:pPr>
              <w:r w:rsidRPr="0063679F">
                <w:rPr>
                  <w:sz w:val="20"/>
                  <w:szCs w:val="20"/>
                </w:rPr>
                <w:fldChar w:fldCharType="begin"/>
              </w:r>
              <w:r w:rsidRPr="0063679F">
                <w:rPr>
                  <w:sz w:val="20"/>
                  <w:szCs w:val="20"/>
                </w:rPr>
                <w:instrText xml:space="preserve"> BIBLIOGRAPHY </w:instrText>
              </w:r>
              <w:r w:rsidRPr="0063679F">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
                <w:gridCol w:w="8581"/>
              </w:tblGrid>
              <w:tr w:rsidR="0063679F" w:rsidRPr="0063679F" w14:paraId="5087B7AC" w14:textId="77777777" w:rsidTr="0063679F">
                <w:trPr>
                  <w:divId w:val="750203158"/>
                  <w:tblCellSpacing w:w="15" w:type="dxa"/>
                </w:trPr>
                <w:tc>
                  <w:tcPr>
                    <w:tcW w:w="222" w:type="pct"/>
                    <w:hideMark/>
                  </w:tcPr>
                  <w:p w14:paraId="23CCC94D" w14:textId="33A80FE1" w:rsidR="0063679F" w:rsidRPr="0063679F" w:rsidRDefault="0063679F">
                    <w:pPr>
                      <w:pStyle w:val="Bibliography"/>
                      <w:rPr>
                        <w:noProof/>
                        <w:sz w:val="20"/>
                        <w:szCs w:val="20"/>
                      </w:rPr>
                    </w:pPr>
                    <w:r w:rsidRPr="0063679F">
                      <w:rPr>
                        <w:noProof/>
                        <w:sz w:val="20"/>
                        <w:szCs w:val="20"/>
                      </w:rPr>
                      <w:t xml:space="preserve">[1] </w:t>
                    </w:r>
                  </w:p>
                </w:tc>
                <w:tc>
                  <w:tcPr>
                    <w:tcW w:w="4729" w:type="pct"/>
                    <w:hideMark/>
                  </w:tcPr>
                  <w:p w14:paraId="02534B98" w14:textId="77777777" w:rsidR="0063679F" w:rsidRPr="0063679F" w:rsidRDefault="0063679F">
                    <w:pPr>
                      <w:pStyle w:val="Bibliography"/>
                      <w:rPr>
                        <w:noProof/>
                        <w:sz w:val="20"/>
                        <w:szCs w:val="20"/>
                      </w:rPr>
                    </w:pPr>
                    <w:r w:rsidRPr="0063679F">
                      <w:rPr>
                        <w:noProof/>
                        <w:sz w:val="20"/>
                        <w:szCs w:val="20"/>
                      </w:rPr>
                      <w:t xml:space="preserve">A. M. Naidech, “Intracranial Hemorrhage,” </w:t>
                    </w:r>
                    <w:r w:rsidRPr="0063679F">
                      <w:rPr>
                        <w:i/>
                        <w:iCs/>
                        <w:noProof/>
                        <w:sz w:val="20"/>
                        <w:szCs w:val="20"/>
                      </w:rPr>
                      <w:t xml:space="preserve">American Journal of Respiratory and Critical Care Medicine, </w:t>
                    </w:r>
                    <w:r w:rsidRPr="0063679F">
                      <w:rPr>
                        <w:noProof/>
                        <w:sz w:val="20"/>
                        <w:szCs w:val="20"/>
                      </w:rPr>
                      <w:t xml:space="preserve">vol. 184, no. 9, pp. 998-1006, 2011. </w:t>
                    </w:r>
                  </w:p>
                </w:tc>
              </w:tr>
              <w:tr w:rsidR="0063679F" w:rsidRPr="0063679F" w14:paraId="0202EEE7" w14:textId="77777777" w:rsidTr="0063679F">
                <w:trPr>
                  <w:divId w:val="750203158"/>
                  <w:tblCellSpacing w:w="15" w:type="dxa"/>
                </w:trPr>
                <w:tc>
                  <w:tcPr>
                    <w:tcW w:w="222" w:type="pct"/>
                    <w:hideMark/>
                  </w:tcPr>
                  <w:p w14:paraId="019E16D6" w14:textId="77777777" w:rsidR="0063679F" w:rsidRPr="0063679F" w:rsidRDefault="0063679F">
                    <w:pPr>
                      <w:pStyle w:val="Bibliography"/>
                      <w:rPr>
                        <w:noProof/>
                        <w:sz w:val="20"/>
                        <w:szCs w:val="20"/>
                      </w:rPr>
                    </w:pPr>
                    <w:r w:rsidRPr="0063679F">
                      <w:rPr>
                        <w:noProof/>
                        <w:sz w:val="20"/>
                        <w:szCs w:val="20"/>
                      </w:rPr>
                      <w:t xml:space="preserve">[2] </w:t>
                    </w:r>
                  </w:p>
                </w:tc>
                <w:tc>
                  <w:tcPr>
                    <w:tcW w:w="4729" w:type="pct"/>
                    <w:hideMark/>
                  </w:tcPr>
                  <w:p w14:paraId="28DEAF97" w14:textId="77777777" w:rsidR="0063679F" w:rsidRPr="0063679F" w:rsidRDefault="0063679F">
                    <w:pPr>
                      <w:pStyle w:val="Bibliography"/>
                      <w:rPr>
                        <w:noProof/>
                        <w:sz w:val="20"/>
                        <w:szCs w:val="20"/>
                      </w:rPr>
                    </w:pPr>
                    <w:r w:rsidRPr="0063679F">
                      <w:rPr>
                        <w:noProof/>
                        <w:sz w:val="20"/>
                        <w:szCs w:val="20"/>
                      </w:rPr>
                      <w:t xml:space="preserve">B. Pourghassem and H. Shahangian, “Automatic brain hemorrhage segmentation and classification in CT scan images,” in </w:t>
                    </w:r>
                    <w:r w:rsidRPr="0063679F">
                      <w:rPr>
                        <w:i/>
                        <w:iCs/>
                        <w:noProof/>
                        <w:sz w:val="20"/>
                        <w:szCs w:val="20"/>
                      </w:rPr>
                      <w:t>8th Iranian Conference on Machine Vision and Image Processing (MVIP)</w:t>
                    </w:r>
                    <w:r w:rsidRPr="0063679F">
                      <w:rPr>
                        <w:noProof/>
                        <w:sz w:val="20"/>
                        <w:szCs w:val="20"/>
                      </w:rPr>
                      <w:t xml:space="preserve">, Zanjan, 2013. </w:t>
                    </w:r>
                  </w:p>
                </w:tc>
              </w:tr>
              <w:tr w:rsidR="0063679F" w:rsidRPr="0063679F" w14:paraId="385961EC" w14:textId="77777777" w:rsidTr="0063679F">
                <w:trPr>
                  <w:divId w:val="750203158"/>
                  <w:tblCellSpacing w:w="15" w:type="dxa"/>
                </w:trPr>
                <w:tc>
                  <w:tcPr>
                    <w:tcW w:w="222" w:type="pct"/>
                    <w:hideMark/>
                  </w:tcPr>
                  <w:p w14:paraId="4593D7FE" w14:textId="77777777" w:rsidR="0063679F" w:rsidRPr="0063679F" w:rsidRDefault="0063679F">
                    <w:pPr>
                      <w:pStyle w:val="Bibliography"/>
                      <w:rPr>
                        <w:noProof/>
                        <w:sz w:val="20"/>
                        <w:szCs w:val="20"/>
                      </w:rPr>
                    </w:pPr>
                    <w:r w:rsidRPr="0063679F">
                      <w:rPr>
                        <w:noProof/>
                        <w:sz w:val="20"/>
                        <w:szCs w:val="20"/>
                      </w:rPr>
                      <w:t xml:space="preserve">[3] </w:t>
                    </w:r>
                  </w:p>
                </w:tc>
                <w:tc>
                  <w:tcPr>
                    <w:tcW w:w="4729" w:type="pct"/>
                    <w:hideMark/>
                  </w:tcPr>
                  <w:p w14:paraId="53D1F2B8" w14:textId="77777777" w:rsidR="0063679F" w:rsidRPr="0063679F" w:rsidRDefault="0063679F">
                    <w:pPr>
                      <w:pStyle w:val="Bibliography"/>
                      <w:rPr>
                        <w:noProof/>
                        <w:sz w:val="20"/>
                        <w:szCs w:val="20"/>
                      </w:rPr>
                    </w:pPr>
                    <w:r w:rsidRPr="0063679F">
                      <w:rPr>
                        <w:noProof/>
                        <w:sz w:val="20"/>
                        <w:szCs w:val="20"/>
                      </w:rPr>
                      <w:t xml:space="preserve">B. Sharma and K. Venugopalan, “Classification of hematomas in brain CT images using neural network,” </w:t>
                    </w:r>
                    <w:r w:rsidRPr="0063679F">
                      <w:rPr>
                        <w:i/>
                        <w:iCs/>
                        <w:noProof/>
                        <w:sz w:val="20"/>
                        <w:szCs w:val="20"/>
                      </w:rPr>
                      <w:t xml:space="preserve">International Conference on Issues and Challenges in Intelligent Computing Techniques (ICICT), </w:t>
                    </w:r>
                    <w:r w:rsidRPr="0063679F">
                      <w:rPr>
                        <w:noProof/>
                        <w:sz w:val="20"/>
                        <w:szCs w:val="20"/>
                      </w:rPr>
                      <w:t xml:space="preserve">pp. 41-46, 2014. </w:t>
                    </w:r>
                  </w:p>
                </w:tc>
              </w:tr>
              <w:tr w:rsidR="0063679F" w:rsidRPr="0063679F" w14:paraId="5098A36F" w14:textId="77777777" w:rsidTr="0063679F">
                <w:trPr>
                  <w:divId w:val="750203158"/>
                  <w:tblCellSpacing w:w="15" w:type="dxa"/>
                </w:trPr>
                <w:tc>
                  <w:tcPr>
                    <w:tcW w:w="222" w:type="pct"/>
                    <w:hideMark/>
                  </w:tcPr>
                  <w:p w14:paraId="580E75D9" w14:textId="77777777" w:rsidR="0063679F" w:rsidRPr="0063679F" w:rsidRDefault="0063679F">
                    <w:pPr>
                      <w:pStyle w:val="Bibliography"/>
                      <w:rPr>
                        <w:noProof/>
                        <w:sz w:val="20"/>
                        <w:szCs w:val="20"/>
                      </w:rPr>
                    </w:pPr>
                    <w:r w:rsidRPr="0063679F">
                      <w:rPr>
                        <w:noProof/>
                        <w:sz w:val="20"/>
                        <w:szCs w:val="20"/>
                      </w:rPr>
                      <w:t xml:space="preserve">[4] </w:t>
                    </w:r>
                  </w:p>
                </w:tc>
                <w:tc>
                  <w:tcPr>
                    <w:tcW w:w="4729" w:type="pct"/>
                    <w:hideMark/>
                  </w:tcPr>
                  <w:p w14:paraId="3DCBDAE0" w14:textId="77777777" w:rsidR="0063679F" w:rsidRPr="0063679F" w:rsidRDefault="0063679F">
                    <w:pPr>
                      <w:pStyle w:val="Bibliography"/>
                      <w:rPr>
                        <w:noProof/>
                        <w:sz w:val="20"/>
                        <w:szCs w:val="20"/>
                      </w:rPr>
                    </w:pPr>
                    <w:r w:rsidRPr="0063679F">
                      <w:rPr>
                        <w:noProof/>
                        <w:sz w:val="20"/>
                        <w:szCs w:val="20"/>
                      </w:rPr>
                      <w:t>“Spontaneous Intracerebral Hemorrhage,” Clinical Gate, 03 12 2015. [Online]. Available: https://clinicalgate.com/spontaneous-intracerebral-hemorrhage/. [Accessed 28 02 2018].</w:t>
                    </w:r>
                  </w:p>
                </w:tc>
              </w:tr>
              <w:tr w:rsidR="0063679F" w:rsidRPr="0063679F" w14:paraId="5E0E4681" w14:textId="77777777" w:rsidTr="0063679F">
                <w:trPr>
                  <w:divId w:val="750203158"/>
                  <w:tblCellSpacing w:w="15" w:type="dxa"/>
                </w:trPr>
                <w:tc>
                  <w:tcPr>
                    <w:tcW w:w="222" w:type="pct"/>
                    <w:hideMark/>
                  </w:tcPr>
                  <w:p w14:paraId="0AC2ADEC" w14:textId="77777777" w:rsidR="0063679F" w:rsidRPr="0063679F" w:rsidRDefault="0063679F">
                    <w:pPr>
                      <w:pStyle w:val="Bibliography"/>
                      <w:rPr>
                        <w:noProof/>
                        <w:sz w:val="20"/>
                        <w:szCs w:val="20"/>
                      </w:rPr>
                    </w:pPr>
                    <w:r w:rsidRPr="0063679F">
                      <w:rPr>
                        <w:noProof/>
                        <w:sz w:val="20"/>
                        <w:szCs w:val="20"/>
                      </w:rPr>
                      <w:t xml:space="preserve">[5] </w:t>
                    </w:r>
                  </w:p>
                </w:tc>
                <w:tc>
                  <w:tcPr>
                    <w:tcW w:w="4729" w:type="pct"/>
                    <w:hideMark/>
                  </w:tcPr>
                  <w:p w14:paraId="6996ECFB" w14:textId="77777777" w:rsidR="0063679F" w:rsidRPr="0063679F" w:rsidRDefault="0063679F">
                    <w:pPr>
                      <w:pStyle w:val="Bibliography"/>
                      <w:rPr>
                        <w:noProof/>
                        <w:sz w:val="20"/>
                        <w:szCs w:val="20"/>
                      </w:rPr>
                    </w:pPr>
                    <w:r w:rsidRPr="0063679F">
                      <w:rPr>
                        <w:noProof/>
                        <w:sz w:val="20"/>
                        <w:szCs w:val="20"/>
                      </w:rPr>
                      <w:t>M. Nadrljanski, “Attenuation coefficient | Radiology Reference Article | Radiopaedia.org,” Radiopaedia.org, [Online]. Available: https://radiopaedia.org/articles/attenuation-coefficient. [Accessed 28 02 2018].</w:t>
                    </w:r>
                  </w:p>
                </w:tc>
              </w:tr>
              <w:tr w:rsidR="0063679F" w:rsidRPr="0063679F" w14:paraId="73C45F6F" w14:textId="77777777" w:rsidTr="0063679F">
                <w:trPr>
                  <w:divId w:val="750203158"/>
                  <w:tblCellSpacing w:w="15" w:type="dxa"/>
                </w:trPr>
                <w:tc>
                  <w:tcPr>
                    <w:tcW w:w="222" w:type="pct"/>
                    <w:hideMark/>
                  </w:tcPr>
                  <w:p w14:paraId="64B39D3A" w14:textId="77777777" w:rsidR="0063679F" w:rsidRPr="0063679F" w:rsidRDefault="0063679F">
                    <w:pPr>
                      <w:pStyle w:val="Bibliography"/>
                      <w:rPr>
                        <w:noProof/>
                        <w:sz w:val="20"/>
                        <w:szCs w:val="20"/>
                      </w:rPr>
                    </w:pPr>
                    <w:r w:rsidRPr="0063679F">
                      <w:rPr>
                        <w:noProof/>
                        <w:sz w:val="20"/>
                        <w:szCs w:val="20"/>
                      </w:rPr>
                      <w:t xml:space="preserve">[6] </w:t>
                    </w:r>
                  </w:p>
                </w:tc>
                <w:tc>
                  <w:tcPr>
                    <w:tcW w:w="4729" w:type="pct"/>
                    <w:hideMark/>
                  </w:tcPr>
                  <w:p w14:paraId="59A39628" w14:textId="77777777" w:rsidR="0063679F" w:rsidRPr="0063679F" w:rsidRDefault="0063679F">
                    <w:pPr>
                      <w:pStyle w:val="Bibliography"/>
                      <w:rPr>
                        <w:noProof/>
                        <w:sz w:val="20"/>
                        <w:szCs w:val="20"/>
                      </w:rPr>
                    </w:pPr>
                    <w:r w:rsidRPr="0063679F">
                      <w:rPr>
                        <w:noProof/>
                        <w:sz w:val="20"/>
                        <w:szCs w:val="20"/>
                      </w:rPr>
                      <w:t>W. |. W. H. Organization, “Who.int,” WHO | World Health Organization, [Online]. Available: http://www.who.int/diagnostic_imaging/imaging_modalities/dim_plain-radiography/en/. [Accessed 28 02 2018].</w:t>
                    </w:r>
                  </w:p>
                </w:tc>
              </w:tr>
              <w:tr w:rsidR="0063679F" w:rsidRPr="0063679F" w14:paraId="2FDEEBDD" w14:textId="77777777" w:rsidTr="0063679F">
                <w:trPr>
                  <w:divId w:val="750203158"/>
                  <w:tblCellSpacing w:w="15" w:type="dxa"/>
                </w:trPr>
                <w:tc>
                  <w:tcPr>
                    <w:tcW w:w="222" w:type="pct"/>
                    <w:hideMark/>
                  </w:tcPr>
                  <w:p w14:paraId="4F8E1C89" w14:textId="77777777" w:rsidR="0063679F" w:rsidRPr="0063679F" w:rsidRDefault="0063679F">
                    <w:pPr>
                      <w:pStyle w:val="Bibliography"/>
                      <w:rPr>
                        <w:noProof/>
                        <w:sz w:val="20"/>
                        <w:szCs w:val="20"/>
                      </w:rPr>
                    </w:pPr>
                    <w:r w:rsidRPr="0063679F">
                      <w:rPr>
                        <w:noProof/>
                        <w:sz w:val="20"/>
                        <w:szCs w:val="20"/>
                      </w:rPr>
                      <w:t xml:space="preserve">[7] </w:t>
                    </w:r>
                  </w:p>
                </w:tc>
                <w:tc>
                  <w:tcPr>
                    <w:tcW w:w="4729" w:type="pct"/>
                    <w:hideMark/>
                  </w:tcPr>
                  <w:p w14:paraId="19E98D50" w14:textId="77777777" w:rsidR="0063679F" w:rsidRPr="0063679F" w:rsidRDefault="0063679F">
                    <w:pPr>
                      <w:pStyle w:val="Bibliography"/>
                      <w:rPr>
                        <w:noProof/>
                        <w:sz w:val="20"/>
                        <w:szCs w:val="20"/>
                      </w:rPr>
                    </w:pPr>
                    <w:r w:rsidRPr="0063679F">
                      <w:rPr>
                        <w:noProof/>
                        <w:sz w:val="20"/>
                        <w:szCs w:val="20"/>
                      </w:rPr>
                      <w:t xml:space="preserve">P. Armstrong, Diagnostic imaging, 6th edition ed., Blackwell, 2009. </w:t>
                    </w:r>
                  </w:p>
                </w:tc>
              </w:tr>
              <w:tr w:rsidR="0063679F" w:rsidRPr="0063679F" w14:paraId="46F75195" w14:textId="77777777" w:rsidTr="0063679F">
                <w:trPr>
                  <w:divId w:val="750203158"/>
                  <w:tblCellSpacing w:w="15" w:type="dxa"/>
                </w:trPr>
                <w:tc>
                  <w:tcPr>
                    <w:tcW w:w="222" w:type="pct"/>
                    <w:hideMark/>
                  </w:tcPr>
                  <w:p w14:paraId="160B40CC" w14:textId="77777777" w:rsidR="0063679F" w:rsidRPr="0063679F" w:rsidRDefault="0063679F">
                    <w:pPr>
                      <w:pStyle w:val="Bibliography"/>
                      <w:rPr>
                        <w:noProof/>
                        <w:sz w:val="20"/>
                        <w:szCs w:val="20"/>
                      </w:rPr>
                    </w:pPr>
                    <w:r w:rsidRPr="0063679F">
                      <w:rPr>
                        <w:noProof/>
                        <w:sz w:val="20"/>
                        <w:szCs w:val="20"/>
                      </w:rPr>
                      <w:t xml:space="preserve">[8] </w:t>
                    </w:r>
                  </w:p>
                </w:tc>
                <w:tc>
                  <w:tcPr>
                    <w:tcW w:w="4729" w:type="pct"/>
                    <w:hideMark/>
                  </w:tcPr>
                  <w:p w14:paraId="48C19ED6" w14:textId="77777777" w:rsidR="0063679F" w:rsidRPr="0063679F" w:rsidRDefault="0063679F">
                    <w:pPr>
                      <w:pStyle w:val="Bibliography"/>
                      <w:rPr>
                        <w:noProof/>
                        <w:sz w:val="20"/>
                        <w:szCs w:val="20"/>
                      </w:rPr>
                    </w:pPr>
                    <w:r w:rsidRPr="0063679F">
                      <w:rPr>
                        <w:noProof/>
                        <w:sz w:val="20"/>
                        <w:szCs w:val="20"/>
                      </w:rPr>
                      <w:t>“Computed Tomography (CT),” National Institute of Biomedical Imaging and Bioengineering, undated. [Online]. Available: https://www.nibib.nih.gov/science-education/science-topics/computed-tomography-ct. [Accessed 28 02 2018].</w:t>
                    </w:r>
                  </w:p>
                </w:tc>
              </w:tr>
              <w:tr w:rsidR="0063679F" w:rsidRPr="0063679F" w14:paraId="2A8D3B83" w14:textId="77777777" w:rsidTr="0063679F">
                <w:trPr>
                  <w:divId w:val="750203158"/>
                  <w:tblCellSpacing w:w="15" w:type="dxa"/>
                </w:trPr>
                <w:tc>
                  <w:tcPr>
                    <w:tcW w:w="222" w:type="pct"/>
                    <w:hideMark/>
                  </w:tcPr>
                  <w:p w14:paraId="190192CE" w14:textId="77777777" w:rsidR="0063679F" w:rsidRPr="0063679F" w:rsidRDefault="0063679F">
                    <w:pPr>
                      <w:pStyle w:val="Bibliography"/>
                      <w:rPr>
                        <w:noProof/>
                        <w:sz w:val="20"/>
                        <w:szCs w:val="20"/>
                      </w:rPr>
                    </w:pPr>
                    <w:r w:rsidRPr="0063679F">
                      <w:rPr>
                        <w:noProof/>
                        <w:sz w:val="20"/>
                        <w:szCs w:val="20"/>
                      </w:rPr>
                      <w:t xml:space="preserve">[9] </w:t>
                    </w:r>
                  </w:p>
                </w:tc>
                <w:tc>
                  <w:tcPr>
                    <w:tcW w:w="4729" w:type="pct"/>
                    <w:hideMark/>
                  </w:tcPr>
                  <w:p w14:paraId="6C699BDC" w14:textId="77777777" w:rsidR="0063679F" w:rsidRPr="0063679F" w:rsidRDefault="0063679F">
                    <w:pPr>
                      <w:pStyle w:val="Bibliography"/>
                      <w:rPr>
                        <w:noProof/>
                        <w:sz w:val="20"/>
                        <w:szCs w:val="20"/>
                      </w:rPr>
                    </w:pPr>
                    <w:r w:rsidRPr="0063679F">
                      <w:rPr>
                        <w:noProof/>
                        <w:sz w:val="20"/>
                        <w:szCs w:val="20"/>
                      </w:rPr>
                      <w:t>M. Nadrljanski, “Computed tomography | Radiology Reference Article | Radiopaedia.org,” Radiopaedia.org, undated. [Online]. Available: https://radiopaedia.org/articles/computed-tomography. [Accessed 28 02 2018].</w:t>
                    </w:r>
                  </w:p>
                </w:tc>
              </w:tr>
              <w:tr w:rsidR="0063679F" w:rsidRPr="0063679F" w14:paraId="2AAC0FCC" w14:textId="77777777" w:rsidTr="0063679F">
                <w:trPr>
                  <w:divId w:val="750203158"/>
                  <w:tblCellSpacing w:w="15" w:type="dxa"/>
                </w:trPr>
                <w:tc>
                  <w:tcPr>
                    <w:tcW w:w="222" w:type="pct"/>
                    <w:hideMark/>
                  </w:tcPr>
                  <w:p w14:paraId="0730DC59" w14:textId="77777777" w:rsidR="0063679F" w:rsidRPr="0063679F" w:rsidRDefault="0063679F">
                    <w:pPr>
                      <w:pStyle w:val="Bibliography"/>
                      <w:rPr>
                        <w:noProof/>
                        <w:sz w:val="20"/>
                        <w:szCs w:val="20"/>
                      </w:rPr>
                    </w:pPr>
                    <w:r w:rsidRPr="0063679F">
                      <w:rPr>
                        <w:noProof/>
                        <w:sz w:val="20"/>
                        <w:szCs w:val="20"/>
                      </w:rPr>
                      <w:t xml:space="preserve">[10] </w:t>
                    </w:r>
                  </w:p>
                </w:tc>
                <w:tc>
                  <w:tcPr>
                    <w:tcW w:w="4729" w:type="pct"/>
                    <w:hideMark/>
                  </w:tcPr>
                  <w:p w14:paraId="7881E7F1" w14:textId="77777777" w:rsidR="0063679F" w:rsidRPr="0063679F" w:rsidRDefault="0063679F">
                    <w:pPr>
                      <w:pStyle w:val="Bibliography"/>
                      <w:rPr>
                        <w:noProof/>
                        <w:sz w:val="20"/>
                        <w:szCs w:val="20"/>
                      </w:rPr>
                    </w:pPr>
                    <w:r w:rsidRPr="0063679F">
                      <w:rPr>
                        <w:noProof/>
                        <w:sz w:val="20"/>
                        <w:szCs w:val="20"/>
                      </w:rPr>
                      <w:t>“Computed tomography,” TheFreeDictionary.com, [Online]. Available: https://medical-dictionary.thefreedictionary.com/Computed+tomography. [Accessed 28 02 2018].</w:t>
                    </w:r>
                  </w:p>
                </w:tc>
              </w:tr>
              <w:tr w:rsidR="0063679F" w:rsidRPr="0063679F" w14:paraId="79BF0C51" w14:textId="77777777" w:rsidTr="0063679F">
                <w:trPr>
                  <w:divId w:val="750203158"/>
                  <w:tblCellSpacing w:w="15" w:type="dxa"/>
                </w:trPr>
                <w:tc>
                  <w:tcPr>
                    <w:tcW w:w="222" w:type="pct"/>
                    <w:hideMark/>
                  </w:tcPr>
                  <w:p w14:paraId="25E6D9B5" w14:textId="77777777" w:rsidR="0063679F" w:rsidRPr="0063679F" w:rsidRDefault="0063679F">
                    <w:pPr>
                      <w:pStyle w:val="Bibliography"/>
                      <w:rPr>
                        <w:noProof/>
                        <w:sz w:val="20"/>
                        <w:szCs w:val="20"/>
                      </w:rPr>
                    </w:pPr>
                    <w:r w:rsidRPr="0063679F">
                      <w:rPr>
                        <w:noProof/>
                        <w:sz w:val="20"/>
                        <w:szCs w:val="20"/>
                      </w:rPr>
                      <w:t xml:space="preserve">[11] </w:t>
                    </w:r>
                  </w:p>
                </w:tc>
                <w:tc>
                  <w:tcPr>
                    <w:tcW w:w="4729" w:type="pct"/>
                    <w:hideMark/>
                  </w:tcPr>
                  <w:p w14:paraId="243AAB01" w14:textId="77777777" w:rsidR="0063679F" w:rsidRPr="0063679F" w:rsidRDefault="0063679F">
                    <w:pPr>
                      <w:pStyle w:val="Bibliography"/>
                      <w:rPr>
                        <w:noProof/>
                        <w:sz w:val="20"/>
                        <w:szCs w:val="20"/>
                      </w:rPr>
                    </w:pPr>
                    <w:r w:rsidRPr="0063679F">
                      <w:rPr>
                        <w:noProof/>
                        <w:sz w:val="20"/>
                        <w:szCs w:val="20"/>
                      </w:rPr>
                      <w:t>P. Sprawls, “CT Image Quality and Dose Management,” [Online]. Available: http://www.sprawls.org/resources/CTIQDM/. [Accessed 28 02 2018].</w:t>
                    </w:r>
                  </w:p>
                </w:tc>
              </w:tr>
              <w:tr w:rsidR="0063679F" w:rsidRPr="0063679F" w14:paraId="700C4442" w14:textId="77777777" w:rsidTr="0063679F">
                <w:trPr>
                  <w:divId w:val="750203158"/>
                  <w:tblCellSpacing w:w="15" w:type="dxa"/>
                </w:trPr>
                <w:tc>
                  <w:tcPr>
                    <w:tcW w:w="222" w:type="pct"/>
                    <w:hideMark/>
                  </w:tcPr>
                  <w:p w14:paraId="31488027" w14:textId="77777777" w:rsidR="0063679F" w:rsidRPr="0063679F" w:rsidRDefault="0063679F">
                    <w:pPr>
                      <w:pStyle w:val="Bibliography"/>
                      <w:rPr>
                        <w:noProof/>
                        <w:sz w:val="20"/>
                        <w:szCs w:val="20"/>
                      </w:rPr>
                    </w:pPr>
                    <w:r w:rsidRPr="0063679F">
                      <w:rPr>
                        <w:noProof/>
                        <w:sz w:val="20"/>
                        <w:szCs w:val="20"/>
                      </w:rPr>
                      <w:t xml:space="preserve">[12] </w:t>
                    </w:r>
                  </w:p>
                </w:tc>
                <w:tc>
                  <w:tcPr>
                    <w:tcW w:w="4729" w:type="pct"/>
                    <w:hideMark/>
                  </w:tcPr>
                  <w:p w14:paraId="45693468" w14:textId="77777777" w:rsidR="0063679F" w:rsidRPr="0063679F" w:rsidRDefault="0063679F">
                    <w:pPr>
                      <w:pStyle w:val="Bibliography"/>
                      <w:rPr>
                        <w:noProof/>
                        <w:sz w:val="20"/>
                        <w:szCs w:val="20"/>
                      </w:rPr>
                    </w:pPr>
                    <w:r w:rsidRPr="0063679F">
                      <w:rPr>
                        <w:noProof/>
                        <w:sz w:val="20"/>
                        <w:szCs w:val="20"/>
                      </w:rPr>
                      <w:t>“Education. Whats an MRI,” Multiple-sclerosis-research.blogspot.com, 10 01 2015. [Online]. Available: http://multiple-sclerosis-research.blogspot.com/2015/01/education-whats-mri.html. [Accessed 28 02 2018].</w:t>
                    </w:r>
                  </w:p>
                </w:tc>
              </w:tr>
              <w:tr w:rsidR="0063679F" w:rsidRPr="0063679F" w14:paraId="63B2BC02" w14:textId="77777777" w:rsidTr="0063679F">
                <w:trPr>
                  <w:divId w:val="750203158"/>
                  <w:tblCellSpacing w:w="15" w:type="dxa"/>
                </w:trPr>
                <w:tc>
                  <w:tcPr>
                    <w:tcW w:w="222" w:type="pct"/>
                    <w:hideMark/>
                  </w:tcPr>
                  <w:p w14:paraId="21A386F3" w14:textId="77777777" w:rsidR="0063679F" w:rsidRPr="0063679F" w:rsidRDefault="0063679F">
                    <w:pPr>
                      <w:pStyle w:val="Bibliography"/>
                      <w:rPr>
                        <w:noProof/>
                        <w:sz w:val="20"/>
                        <w:szCs w:val="20"/>
                      </w:rPr>
                    </w:pPr>
                    <w:r w:rsidRPr="0063679F">
                      <w:rPr>
                        <w:noProof/>
                        <w:sz w:val="20"/>
                        <w:szCs w:val="20"/>
                      </w:rPr>
                      <w:lastRenderedPageBreak/>
                      <w:t xml:space="preserve">[13] </w:t>
                    </w:r>
                  </w:p>
                </w:tc>
                <w:tc>
                  <w:tcPr>
                    <w:tcW w:w="4729" w:type="pct"/>
                    <w:hideMark/>
                  </w:tcPr>
                  <w:p w14:paraId="197CCC35" w14:textId="77777777" w:rsidR="0063679F" w:rsidRPr="0063679F" w:rsidRDefault="0063679F">
                    <w:pPr>
                      <w:pStyle w:val="Bibliography"/>
                      <w:rPr>
                        <w:noProof/>
                        <w:sz w:val="20"/>
                        <w:szCs w:val="20"/>
                      </w:rPr>
                    </w:pPr>
                    <w:r w:rsidRPr="0063679F">
                      <w:rPr>
                        <w:noProof/>
                        <w:sz w:val="20"/>
                        <w:szCs w:val="20"/>
                      </w:rPr>
                      <w:t>“Acute CT Brain - Mass effect,” Radiologymasterclass.co.uk, [Online]. Available: https://www.radiologymasterclass.co.uk/tutorials/ct/ct_acute_brain/ct_brain_mass_effect. [Accessed 28 02 2018].</w:t>
                    </w:r>
                  </w:p>
                </w:tc>
              </w:tr>
              <w:tr w:rsidR="0063679F" w:rsidRPr="0063679F" w14:paraId="3D965A7B" w14:textId="77777777" w:rsidTr="0063679F">
                <w:trPr>
                  <w:divId w:val="750203158"/>
                  <w:tblCellSpacing w:w="15" w:type="dxa"/>
                </w:trPr>
                <w:tc>
                  <w:tcPr>
                    <w:tcW w:w="222" w:type="pct"/>
                    <w:hideMark/>
                  </w:tcPr>
                  <w:p w14:paraId="5AE37FC0" w14:textId="77777777" w:rsidR="0063679F" w:rsidRPr="0063679F" w:rsidRDefault="0063679F">
                    <w:pPr>
                      <w:pStyle w:val="Bibliography"/>
                      <w:rPr>
                        <w:noProof/>
                        <w:sz w:val="20"/>
                        <w:szCs w:val="20"/>
                      </w:rPr>
                    </w:pPr>
                    <w:r w:rsidRPr="0063679F">
                      <w:rPr>
                        <w:noProof/>
                        <w:sz w:val="20"/>
                        <w:szCs w:val="20"/>
                      </w:rPr>
                      <w:t xml:space="preserve">[14] </w:t>
                    </w:r>
                  </w:p>
                </w:tc>
                <w:tc>
                  <w:tcPr>
                    <w:tcW w:w="4729" w:type="pct"/>
                    <w:hideMark/>
                  </w:tcPr>
                  <w:p w14:paraId="64A8DF96" w14:textId="77777777" w:rsidR="0063679F" w:rsidRPr="0063679F" w:rsidRDefault="0063679F">
                    <w:pPr>
                      <w:pStyle w:val="Bibliography"/>
                      <w:rPr>
                        <w:noProof/>
                        <w:sz w:val="20"/>
                        <w:szCs w:val="20"/>
                      </w:rPr>
                    </w:pPr>
                    <w:r w:rsidRPr="0063679F">
                      <w:rPr>
                        <w:noProof/>
                        <w:sz w:val="20"/>
                        <w:szCs w:val="20"/>
                      </w:rPr>
                      <w:t>F. Gaillard, “Intracranial haemorrhage | Radiology Reference Article | Radiopaedia.org,” Radiopaedia.org, [Online]. Available: https://radiopaedia.org/articles/intracranial-haemorrhage. [Accessed 28 02 2018].</w:t>
                    </w:r>
                  </w:p>
                </w:tc>
              </w:tr>
              <w:tr w:rsidR="0063679F" w:rsidRPr="0063679F" w14:paraId="7FEB80C6" w14:textId="77777777" w:rsidTr="0063679F">
                <w:trPr>
                  <w:divId w:val="750203158"/>
                  <w:tblCellSpacing w:w="15" w:type="dxa"/>
                </w:trPr>
                <w:tc>
                  <w:tcPr>
                    <w:tcW w:w="222" w:type="pct"/>
                    <w:hideMark/>
                  </w:tcPr>
                  <w:p w14:paraId="4C19E41E" w14:textId="77777777" w:rsidR="0063679F" w:rsidRPr="0063679F" w:rsidRDefault="0063679F">
                    <w:pPr>
                      <w:pStyle w:val="Bibliography"/>
                      <w:rPr>
                        <w:noProof/>
                        <w:sz w:val="20"/>
                        <w:szCs w:val="20"/>
                      </w:rPr>
                    </w:pPr>
                    <w:r w:rsidRPr="0063679F">
                      <w:rPr>
                        <w:noProof/>
                        <w:sz w:val="20"/>
                        <w:szCs w:val="20"/>
                      </w:rPr>
                      <w:t xml:space="preserve">[15] </w:t>
                    </w:r>
                  </w:p>
                </w:tc>
                <w:tc>
                  <w:tcPr>
                    <w:tcW w:w="4729" w:type="pct"/>
                    <w:hideMark/>
                  </w:tcPr>
                  <w:p w14:paraId="18513F06" w14:textId="77777777" w:rsidR="0063679F" w:rsidRPr="0063679F" w:rsidRDefault="0063679F">
                    <w:pPr>
                      <w:pStyle w:val="Bibliography"/>
                      <w:rPr>
                        <w:noProof/>
                        <w:sz w:val="20"/>
                        <w:szCs w:val="20"/>
                      </w:rPr>
                    </w:pPr>
                    <w:r w:rsidRPr="0063679F">
                      <w:rPr>
                        <w:noProof/>
                        <w:sz w:val="20"/>
                        <w:szCs w:val="20"/>
                      </w:rPr>
                      <w:t xml:space="preserve">K. Doi, “Computer-aided diagnosis in medical imaging: Historical review, current status and future potential,” </w:t>
                    </w:r>
                    <w:r w:rsidRPr="0063679F">
                      <w:rPr>
                        <w:i/>
                        <w:iCs/>
                        <w:noProof/>
                        <w:sz w:val="20"/>
                        <w:szCs w:val="20"/>
                      </w:rPr>
                      <w:t xml:space="preserve">Computerized Medical Imaging and Graphics, </w:t>
                    </w:r>
                    <w:r w:rsidRPr="0063679F">
                      <w:rPr>
                        <w:noProof/>
                        <w:sz w:val="20"/>
                        <w:szCs w:val="20"/>
                      </w:rPr>
                      <w:t xml:space="preserve">vol. 31, no. 4-5, pp. 198-211, 2007. </w:t>
                    </w:r>
                  </w:p>
                </w:tc>
              </w:tr>
              <w:tr w:rsidR="0063679F" w:rsidRPr="0063679F" w14:paraId="230A05E8" w14:textId="77777777" w:rsidTr="0063679F">
                <w:trPr>
                  <w:divId w:val="750203158"/>
                  <w:tblCellSpacing w:w="15" w:type="dxa"/>
                </w:trPr>
                <w:tc>
                  <w:tcPr>
                    <w:tcW w:w="222" w:type="pct"/>
                    <w:hideMark/>
                  </w:tcPr>
                  <w:p w14:paraId="08B82398" w14:textId="77777777" w:rsidR="0063679F" w:rsidRPr="0063679F" w:rsidRDefault="0063679F">
                    <w:pPr>
                      <w:pStyle w:val="Bibliography"/>
                      <w:rPr>
                        <w:noProof/>
                        <w:sz w:val="20"/>
                        <w:szCs w:val="20"/>
                      </w:rPr>
                    </w:pPr>
                    <w:r w:rsidRPr="0063679F">
                      <w:rPr>
                        <w:noProof/>
                        <w:sz w:val="20"/>
                        <w:szCs w:val="20"/>
                      </w:rPr>
                      <w:t xml:space="preserve">[16] </w:t>
                    </w:r>
                  </w:p>
                </w:tc>
                <w:tc>
                  <w:tcPr>
                    <w:tcW w:w="4729" w:type="pct"/>
                    <w:hideMark/>
                  </w:tcPr>
                  <w:p w14:paraId="1B3A34D8" w14:textId="77777777" w:rsidR="0063679F" w:rsidRPr="0063679F" w:rsidRDefault="0063679F">
                    <w:pPr>
                      <w:pStyle w:val="Bibliography"/>
                      <w:rPr>
                        <w:noProof/>
                        <w:sz w:val="20"/>
                        <w:szCs w:val="20"/>
                      </w:rPr>
                    </w:pPr>
                    <w:r w:rsidRPr="0063679F">
                      <w:rPr>
                        <w:noProof/>
                        <w:sz w:val="20"/>
                        <w:szCs w:val="20"/>
                      </w:rPr>
                      <w:t xml:space="preserve">R. V. M. a. I. C. P. Raha, “Fully automated computer aided diagnosis system for classification of breast mass from ultrasound images,” in </w:t>
                    </w:r>
                    <w:r w:rsidRPr="0063679F">
                      <w:rPr>
                        <w:i/>
                        <w:iCs/>
                        <w:noProof/>
                        <w:sz w:val="20"/>
                        <w:szCs w:val="20"/>
                      </w:rPr>
                      <w:t>2017 International Conference on Wireless Communications, Signal Processing and Networking (WiSPNET)</w:t>
                    </w:r>
                    <w:r w:rsidRPr="0063679F">
                      <w:rPr>
                        <w:noProof/>
                        <w:sz w:val="20"/>
                        <w:szCs w:val="20"/>
                      </w:rPr>
                      <w:t xml:space="preserve">, Chennai, India, 2017. </w:t>
                    </w:r>
                  </w:p>
                </w:tc>
              </w:tr>
              <w:tr w:rsidR="0063679F" w:rsidRPr="0063679F" w14:paraId="1A78D485" w14:textId="77777777" w:rsidTr="0063679F">
                <w:trPr>
                  <w:divId w:val="750203158"/>
                  <w:tblCellSpacing w:w="15" w:type="dxa"/>
                </w:trPr>
                <w:tc>
                  <w:tcPr>
                    <w:tcW w:w="222" w:type="pct"/>
                    <w:hideMark/>
                  </w:tcPr>
                  <w:p w14:paraId="52915B0A" w14:textId="77777777" w:rsidR="0063679F" w:rsidRPr="0063679F" w:rsidRDefault="0063679F">
                    <w:pPr>
                      <w:pStyle w:val="Bibliography"/>
                      <w:rPr>
                        <w:noProof/>
                        <w:sz w:val="20"/>
                        <w:szCs w:val="20"/>
                      </w:rPr>
                    </w:pPr>
                    <w:r w:rsidRPr="0063679F">
                      <w:rPr>
                        <w:noProof/>
                        <w:sz w:val="20"/>
                        <w:szCs w:val="20"/>
                      </w:rPr>
                      <w:t xml:space="preserve">[17] </w:t>
                    </w:r>
                  </w:p>
                </w:tc>
                <w:tc>
                  <w:tcPr>
                    <w:tcW w:w="4729" w:type="pct"/>
                    <w:hideMark/>
                  </w:tcPr>
                  <w:p w14:paraId="2D5E6C98" w14:textId="77777777" w:rsidR="0063679F" w:rsidRPr="0063679F" w:rsidRDefault="0063679F">
                    <w:pPr>
                      <w:pStyle w:val="Bibliography"/>
                      <w:rPr>
                        <w:noProof/>
                        <w:sz w:val="20"/>
                        <w:szCs w:val="20"/>
                      </w:rPr>
                    </w:pPr>
                    <w:r w:rsidRPr="0063679F">
                      <w:rPr>
                        <w:noProof/>
                        <w:sz w:val="20"/>
                        <w:szCs w:val="20"/>
                      </w:rPr>
                      <w:t xml:space="preserve">F. M. B. D. a. S. R. V. Kumar, “A hybrid computer-aided diagnosis system for abnormality detection in mammograms,” in </w:t>
                    </w:r>
                    <w:r w:rsidRPr="0063679F">
                      <w:rPr>
                        <w:i/>
                        <w:iCs/>
                        <w:noProof/>
                        <w:sz w:val="20"/>
                        <w:szCs w:val="20"/>
                      </w:rPr>
                      <w:t>2017 2nd IEEE International Conference on Recent Trends in Electronics, Information &amp; Communication Technology (RTEICT)</w:t>
                    </w:r>
                    <w:r w:rsidRPr="0063679F">
                      <w:rPr>
                        <w:noProof/>
                        <w:sz w:val="20"/>
                        <w:szCs w:val="20"/>
                      </w:rPr>
                      <w:t xml:space="preserve">, Bangalore, 2017. </w:t>
                    </w:r>
                  </w:p>
                </w:tc>
              </w:tr>
              <w:tr w:rsidR="0063679F" w:rsidRPr="0063679F" w14:paraId="369E8DC7" w14:textId="77777777" w:rsidTr="0063679F">
                <w:trPr>
                  <w:divId w:val="750203158"/>
                  <w:tblCellSpacing w:w="15" w:type="dxa"/>
                </w:trPr>
                <w:tc>
                  <w:tcPr>
                    <w:tcW w:w="222" w:type="pct"/>
                    <w:hideMark/>
                  </w:tcPr>
                  <w:p w14:paraId="287DA8DE" w14:textId="77777777" w:rsidR="0063679F" w:rsidRPr="0063679F" w:rsidRDefault="0063679F">
                    <w:pPr>
                      <w:pStyle w:val="Bibliography"/>
                      <w:rPr>
                        <w:noProof/>
                        <w:sz w:val="20"/>
                        <w:szCs w:val="20"/>
                      </w:rPr>
                    </w:pPr>
                    <w:r w:rsidRPr="0063679F">
                      <w:rPr>
                        <w:noProof/>
                        <w:sz w:val="20"/>
                        <w:szCs w:val="20"/>
                      </w:rPr>
                      <w:t xml:space="preserve">[18] </w:t>
                    </w:r>
                  </w:p>
                </w:tc>
                <w:tc>
                  <w:tcPr>
                    <w:tcW w:w="4729" w:type="pct"/>
                    <w:hideMark/>
                  </w:tcPr>
                  <w:p w14:paraId="77C4091D" w14:textId="77777777" w:rsidR="0063679F" w:rsidRPr="0063679F" w:rsidRDefault="0063679F">
                    <w:pPr>
                      <w:pStyle w:val="Bibliography"/>
                      <w:rPr>
                        <w:noProof/>
                        <w:sz w:val="20"/>
                        <w:szCs w:val="20"/>
                      </w:rPr>
                    </w:pPr>
                    <w:r w:rsidRPr="0063679F">
                      <w:rPr>
                        <w:noProof/>
                        <w:sz w:val="20"/>
                        <w:szCs w:val="20"/>
                      </w:rPr>
                      <w:t xml:space="preserve">F. B. S. A. F. a. M. B. A. K. AlZubaidi, “Computer aided diagnosis in digital pathology application: Review and perspective approach in lung cancer classification,” in </w:t>
                    </w:r>
                    <w:r w:rsidRPr="0063679F">
                      <w:rPr>
                        <w:i/>
                        <w:iCs/>
                        <w:noProof/>
                        <w:sz w:val="20"/>
                        <w:szCs w:val="20"/>
                      </w:rPr>
                      <w:t>2017 Annual Conference on New Trends in Information &amp; Communications Technology Applications (NTICT)</w:t>
                    </w:r>
                    <w:r w:rsidRPr="0063679F">
                      <w:rPr>
                        <w:noProof/>
                        <w:sz w:val="20"/>
                        <w:szCs w:val="20"/>
                      </w:rPr>
                      <w:t xml:space="preserve">, Baghdad, 2017. </w:t>
                    </w:r>
                  </w:p>
                </w:tc>
              </w:tr>
              <w:tr w:rsidR="0063679F" w:rsidRPr="0063679F" w14:paraId="4F571108" w14:textId="77777777" w:rsidTr="0063679F">
                <w:trPr>
                  <w:divId w:val="750203158"/>
                  <w:tblCellSpacing w:w="15" w:type="dxa"/>
                </w:trPr>
                <w:tc>
                  <w:tcPr>
                    <w:tcW w:w="222" w:type="pct"/>
                    <w:hideMark/>
                  </w:tcPr>
                  <w:p w14:paraId="7BB1E906" w14:textId="77777777" w:rsidR="0063679F" w:rsidRPr="0063679F" w:rsidRDefault="0063679F">
                    <w:pPr>
                      <w:pStyle w:val="Bibliography"/>
                      <w:rPr>
                        <w:noProof/>
                        <w:sz w:val="20"/>
                        <w:szCs w:val="20"/>
                      </w:rPr>
                    </w:pPr>
                    <w:r w:rsidRPr="0063679F">
                      <w:rPr>
                        <w:noProof/>
                        <w:sz w:val="20"/>
                        <w:szCs w:val="20"/>
                      </w:rPr>
                      <w:t xml:space="preserve">[19] </w:t>
                    </w:r>
                  </w:p>
                </w:tc>
                <w:tc>
                  <w:tcPr>
                    <w:tcW w:w="4729" w:type="pct"/>
                    <w:hideMark/>
                  </w:tcPr>
                  <w:p w14:paraId="7345944C" w14:textId="77777777" w:rsidR="0063679F" w:rsidRPr="0063679F" w:rsidRDefault="0063679F">
                    <w:pPr>
                      <w:pStyle w:val="Bibliography"/>
                      <w:rPr>
                        <w:noProof/>
                        <w:sz w:val="20"/>
                        <w:szCs w:val="20"/>
                      </w:rPr>
                    </w:pPr>
                    <w:r w:rsidRPr="0063679F">
                      <w:rPr>
                        <w:noProof/>
                        <w:sz w:val="20"/>
                        <w:szCs w:val="20"/>
                      </w:rPr>
                      <w:t xml:space="preserve">M. P. P. a. S. Choomchuay, “A computer aided diagnosis system for detection of lung nodules from series of CT slices,” in </w:t>
                    </w:r>
                    <w:r w:rsidRPr="0063679F">
                      <w:rPr>
                        <w:i/>
                        <w:iCs/>
                        <w:noProof/>
                        <w:sz w:val="20"/>
                        <w:szCs w:val="20"/>
                      </w:rPr>
                      <w:t>14th International Conference on Electrical Engineering/Electronics, Computer, Telecommunications and Information Technology (ECTI-CON)</w:t>
                    </w:r>
                    <w:r w:rsidRPr="0063679F">
                      <w:rPr>
                        <w:noProof/>
                        <w:sz w:val="20"/>
                        <w:szCs w:val="20"/>
                      </w:rPr>
                      <w:t xml:space="preserve">, Phuket, 2017. </w:t>
                    </w:r>
                  </w:p>
                </w:tc>
              </w:tr>
              <w:tr w:rsidR="0063679F" w:rsidRPr="0063679F" w14:paraId="0E12AEEA" w14:textId="77777777" w:rsidTr="0063679F">
                <w:trPr>
                  <w:divId w:val="750203158"/>
                  <w:tblCellSpacing w:w="15" w:type="dxa"/>
                </w:trPr>
                <w:tc>
                  <w:tcPr>
                    <w:tcW w:w="222" w:type="pct"/>
                    <w:hideMark/>
                  </w:tcPr>
                  <w:p w14:paraId="5A354FA0" w14:textId="77777777" w:rsidR="0063679F" w:rsidRPr="0063679F" w:rsidRDefault="0063679F">
                    <w:pPr>
                      <w:pStyle w:val="Bibliography"/>
                      <w:rPr>
                        <w:noProof/>
                        <w:sz w:val="20"/>
                        <w:szCs w:val="20"/>
                      </w:rPr>
                    </w:pPr>
                    <w:r w:rsidRPr="0063679F">
                      <w:rPr>
                        <w:noProof/>
                        <w:sz w:val="20"/>
                        <w:szCs w:val="20"/>
                      </w:rPr>
                      <w:t xml:space="preserve">[20] </w:t>
                    </w:r>
                  </w:p>
                </w:tc>
                <w:tc>
                  <w:tcPr>
                    <w:tcW w:w="4729" w:type="pct"/>
                    <w:hideMark/>
                  </w:tcPr>
                  <w:p w14:paraId="4A3C804C" w14:textId="77777777" w:rsidR="0063679F" w:rsidRPr="0063679F" w:rsidRDefault="0063679F">
                    <w:pPr>
                      <w:pStyle w:val="Bibliography"/>
                      <w:rPr>
                        <w:noProof/>
                        <w:sz w:val="20"/>
                        <w:szCs w:val="20"/>
                      </w:rPr>
                    </w:pPr>
                    <w:r w:rsidRPr="0063679F">
                      <w:rPr>
                        <w:noProof/>
                        <w:sz w:val="20"/>
                        <w:szCs w:val="20"/>
                      </w:rPr>
                      <w:t>“What is Machine Learning? A definition - Expert System,” Expertsystem.com, [Online]. Available: http://www.expertsystem.com/machine-learning-definition/. [Accessed 28 02 2018].</w:t>
                    </w:r>
                  </w:p>
                </w:tc>
              </w:tr>
              <w:tr w:rsidR="0063679F" w:rsidRPr="0063679F" w14:paraId="4A80FF96" w14:textId="77777777" w:rsidTr="0063679F">
                <w:trPr>
                  <w:divId w:val="750203158"/>
                  <w:tblCellSpacing w:w="15" w:type="dxa"/>
                </w:trPr>
                <w:tc>
                  <w:tcPr>
                    <w:tcW w:w="222" w:type="pct"/>
                    <w:hideMark/>
                  </w:tcPr>
                  <w:p w14:paraId="7DCD0F89" w14:textId="77777777" w:rsidR="0063679F" w:rsidRPr="0063679F" w:rsidRDefault="0063679F">
                    <w:pPr>
                      <w:pStyle w:val="Bibliography"/>
                      <w:rPr>
                        <w:noProof/>
                        <w:sz w:val="20"/>
                        <w:szCs w:val="20"/>
                      </w:rPr>
                    </w:pPr>
                    <w:r w:rsidRPr="0063679F">
                      <w:rPr>
                        <w:noProof/>
                        <w:sz w:val="20"/>
                        <w:szCs w:val="20"/>
                      </w:rPr>
                      <w:t xml:space="preserve">[21] </w:t>
                    </w:r>
                  </w:p>
                </w:tc>
                <w:tc>
                  <w:tcPr>
                    <w:tcW w:w="4729" w:type="pct"/>
                    <w:hideMark/>
                  </w:tcPr>
                  <w:p w14:paraId="3ED9F461" w14:textId="77777777" w:rsidR="0063679F" w:rsidRPr="0063679F" w:rsidRDefault="0063679F">
                    <w:pPr>
                      <w:pStyle w:val="Bibliography"/>
                      <w:rPr>
                        <w:noProof/>
                        <w:sz w:val="20"/>
                        <w:szCs w:val="20"/>
                      </w:rPr>
                    </w:pPr>
                    <w:r w:rsidRPr="0063679F">
                      <w:rPr>
                        <w:noProof/>
                        <w:sz w:val="20"/>
                        <w:szCs w:val="20"/>
                      </w:rPr>
                      <w:t>F. Gaillard, “Subdural haemorrhage | Radiology Reference Article | Radiopaedia.org,” radiopedia.org, 2018. [Online]. Available: https://radiopaedia.org/articles/subdural-haemorrhage.</w:t>
                    </w:r>
                  </w:p>
                </w:tc>
              </w:tr>
              <w:tr w:rsidR="0063679F" w:rsidRPr="0063679F" w14:paraId="13E6AAB8" w14:textId="77777777" w:rsidTr="0063679F">
                <w:trPr>
                  <w:divId w:val="750203158"/>
                  <w:tblCellSpacing w:w="15" w:type="dxa"/>
                </w:trPr>
                <w:tc>
                  <w:tcPr>
                    <w:tcW w:w="222" w:type="pct"/>
                    <w:hideMark/>
                  </w:tcPr>
                  <w:p w14:paraId="51D9E8DF" w14:textId="77777777" w:rsidR="0063679F" w:rsidRPr="0063679F" w:rsidRDefault="0063679F">
                    <w:pPr>
                      <w:pStyle w:val="Bibliography"/>
                      <w:rPr>
                        <w:noProof/>
                        <w:sz w:val="20"/>
                        <w:szCs w:val="20"/>
                      </w:rPr>
                    </w:pPr>
                    <w:r w:rsidRPr="0063679F">
                      <w:rPr>
                        <w:noProof/>
                        <w:sz w:val="20"/>
                        <w:szCs w:val="20"/>
                      </w:rPr>
                      <w:t xml:space="preserve">[22] </w:t>
                    </w:r>
                  </w:p>
                </w:tc>
                <w:tc>
                  <w:tcPr>
                    <w:tcW w:w="4729" w:type="pct"/>
                    <w:hideMark/>
                  </w:tcPr>
                  <w:p w14:paraId="2FC78283" w14:textId="77777777" w:rsidR="0063679F" w:rsidRPr="0063679F" w:rsidRDefault="0063679F">
                    <w:pPr>
                      <w:pStyle w:val="Bibliography"/>
                      <w:rPr>
                        <w:noProof/>
                        <w:sz w:val="20"/>
                        <w:szCs w:val="20"/>
                      </w:rPr>
                    </w:pPr>
                    <w:r w:rsidRPr="0063679F">
                      <w:rPr>
                        <w:noProof/>
                        <w:sz w:val="20"/>
                        <w:szCs w:val="20"/>
                      </w:rPr>
                      <w:t>F. Galliard, “Extradural haemorrhage | Radiology Reference Article | Radiopaedia.org,” Radiopaedia.org, 2018. [Online]. Available: https://radiopaedia.org/articles/extradural-haemorrhage. [Accessed 24 02 2018].</w:t>
                    </w:r>
                  </w:p>
                </w:tc>
              </w:tr>
            </w:tbl>
            <w:p w14:paraId="13300121" w14:textId="77777777" w:rsidR="0063679F" w:rsidRPr="0063679F" w:rsidRDefault="0063679F">
              <w:pPr>
                <w:divId w:val="750203158"/>
                <w:rPr>
                  <w:rFonts w:eastAsia="Times New Roman"/>
                  <w:noProof/>
                  <w:sz w:val="20"/>
                  <w:szCs w:val="20"/>
                </w:rPr>
              </w:pPr>
            </w:p>
            <w:p w14:paraId="3950FEAB" w14:textId="01225B8C" w:rsidR="00CE152D" w:rsidRDefault="00CE152D">
              <w:r w:rsidRPr="0063679F">
                <w:rPr>
                  <w:b/>
                  <w:bCs/>
                  <w:noProof/>
                  <w:sz w:val="20"/>
                  <w:szCs w:val="20"/>
                </w:rPr>
                <w:fldChar w:fldCharType="end"/>
              </w:r>
            </w:p>
          </w:sdtContent>
        </w:sdt>
      </w:sdtContent>
    </w:sdt>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F5BD7" w14:textId="77777777" w:rsidR="000200AC" w:rsidRDefault="000200AC" w:rsidP="003D0501">
      <w:pPr>
        <w:spacing w:after="0" w:line="240" w:lineRule="auto"/>
      </w:pPr>
      <w:r>
        <w:separator/>
      </w:r>
    </w:p>
  </w:endnote>
  <w:endnote w:type="continuationSeparator" w:id="0">
    <w:p w14:paraId="295B6298" w14:textId="77777777" w:rsidR="000200AC" w:rsidRDefault="000200AC"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0E4106" w:rsidRDefault="000E4106">
        <w:pPr>
          <w:pStyle w:val="Footer"/>
          <w:jc w:val="center"/>
        </w:pPr>
        <w:r>
          <w:fldChar w:fldCharType="begin"/>
        </w:r>
        <w:r>
          <w:instrText xml:space="preserve"> PAGE   \* MERGEFORMAT </w:instrText>
        </w:r>
        <w:r>
          <w:fldChar w:fldCharType="separate"/>
        </w:r>
        <w:r w:rsidR="00BE3A18">
          <w:rPr>
            <w:noProof/>
          </w:rPr>
          <w:t>13</w:t>
        </w:r>
        <w:r>
          <w:rPr>
            <w:noProof/>
          </w:rPr>
          <w:fldChar w:fldCharType="end"/>
        </w:r>
      </w:p>
    </w:sdtContent>
  </w:sdt>
  <w:p w14:paraId="128060E4" w14:textId="77777777" w:rsidR="000E4106" w:rsidRDefault="000E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E5AB6" w14:textId="77777777" w:rsidR="000200AC" w:rsidRDefault="000200AC" w:rsidP="003D0501">
      <w:pPr>
        <w:spacing w:after="0" w:line="240" w:lineRule="auto"/>
      </w:pPr>
      <w:r>
        <w:separator/>
      </w:r>
    </w:p>
  </w:footnote>
  <w:footnote w:type="continuationSeparator" w:id="0">
    <w:p w14:paraId="078FE09C" w14:textId="77777777" w:rsidR="000200AC" w:rsidRDefault="000200AC"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0E4106" w:rsidRDefault="000E4106">
    <w:pPr>
      <w:pStyle w:val="Header"/>
      <w:jc w:val="center"/>
    </w:pPr>
  </w:p>
  <w:p w14:paraId="6A7AA18A" w14:textId="77777777" w:rsidR="000E4106" w:rsidRDefault="000E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5B"/>
    <w:rsid w:val="00001453"/>
    <w:rsid w:val="000200AC"/>
    <w:rsid w:val="0002233F"/>
    <w:rsid w:val="0005015B"/>
    <w:rsid w:val="0005223D"/>
    <w:rsid w:val="00061CF7"/>
    <w:rsid w:val="00087031"/>
    <w:rsid w:val="000A228C"/>
    <w:rsid w:val="000E4106"/>
    <w:rsid w:val="000F11AD"/>
    <w:rsid w:val="000F7689"/>
    <w:rsid w:val="00117E40"/>
    <w:rsid w:val="001701D1"/>
    <w:rsid w:val="0018215F"/>
    <w:rsid w:val="00186BE1"/>
    <w:rsid w:val="001A0178"/>
    <w:rsid w:val="001A08B7"/>
    <w:rsid w:val="001A5091"/>
    <w:rsid w:val="001C1511"/>
    <w:rsid w:val="001C4911"/>
    <w:rsid w:val="001D606A"/>
    <w:rsid w:val="002108C6"/>
    <w:rsid w:val="00244115"/>
    <w:rsid w:val="002731F0"/>
    <w:rsid w:val="0029188A"/>
    <w:rsid w:val="002C5714"/>
    <w:rsid w:val="002D3A4A"/>
    <w:rsid w:val="002D647F"/>
    <w:rsid w:val="002E1B60"/>
    <w:rsid w:val="002E2C88"/>
    <w:rsid w:val="002F4572"/>
    <w:rsid w:val="00323267"/>
    <w:rsid w:val="003404C1"/>
    <w:rsid w:val="00361D09"/>
    <w:rsid w:val="003846BA"/>
    <w:rsid w:val="00384717"/>
    <w:rsid w:val="003919C0"/>
    <w:rsid w:val="003C0CE9"/>
    <w:rsid w:val="003D0501"/>
    <w:rsid w:val="003E2E01"/>
    <w:rsid w:val="003E55E2"/>
    <w:rsid w:val="003E61FD"/>
    <w:rsid w:val="00402761"/>
    <w:rsid w:val="00415B29"/>
    <w:rsid w:val="004427EE"/>
    <w:rsid w:val="00446267"/>
    <w:rsid w:val="00460714"/>
    <w:rsid w:val="00461B0E"/>
    <w:rsid w:val="00490239"/>
    <w:rsid w:val="004B2578"/>
    <w:rsid w:val="004C335D"/>
    <w:rsid w:val="004D421F"/>
    <w:rsid w:val="004F2660"/>
    <w:rsid w:val="004F4F93"/>
    <w:rsid w:val="00500A19"/>
    <w:rsid w:val="005052A6"/>
    <w:rsid w:val="00523B84"/>
    <w:rsid w:val="0052797E"/>
    <w:rsid w:val="0056593B"/>
    <w:rsid w:val="0059154D"/>
    <w:rsid w:val="00596876"/>
    <w:rsid w:val="005A7CC4"/>
    <w:rsid w:val="005C1ABE"/>
    <w:rsid w:val="00634045"/>
    <w:rsid w:val="0063679F"/>
    <w:rsid w:val="00653D32"/>
    <w:rsid w:val="00661F21"/>
    <w:rsid w:val="006705F8"/>
    <w:rsid w:val="006767DC"/>
    <w:rsid w:val="00686032"/>
    <w:rsid w:val="00694517"/>
    <w:rsid w:val="006A1645"/>
    <w:rsid w:val="006A1F5A"/>
    <w:rsid w:val="006A278A"/>
    <w:rsid w:val="006A50DC"/>
    <w:rsid w:val="006F07CF"/>
    <w:rsid w:val="00710BF8"/>
    <w:rsid w:val="00726F74"/>
    <w:rsid w:val="0073417D"/>
    <w:rsid w:val="00743AFF"/>
    <w:rsid w:val="007652EA"/>
    <w:rsid w:val="007668EE"/>
    <w:rsid w:val="007763E8"/>
    <w:rsid w:val="00787D8E"/>
    <w:rsid w:val="00796817"/>
    <w:rsid w:val="007A4EF9"/>
    <w:rsid w:val="007B2B94"/>
    <w:rsid w:val="007C32F6"/>
    <w:rsid w:val="007F42C9"/>
    <w:rsid w:val="008528C6"/>
    <w:rsid w:val="008A07C8"/>
    <w:rsid w:val="008B651A"/>
    <w:rsid w:val="008D25E1"/>
    <w:rsid w:val="00932A34"/>
    <w:rsid w:val="009A483C"/>
    <w:rsid w:val="009B3EB1"/>
    <w:rsid w:val="009B3F84"/>
    <w:rsid w:val="009C3A9B"/>
    <w:rsid w:val="009D07AD"/>
    <w:rsid w:val="009E183B"/>
    <w:rsid w:val="009E22F1"/>
    <w:rsid w:val="009F19CB"/>
    <w:rsid w:val="00A020F5"/>
    <w:rsid w:val="00A41301"/>
    <w:rsid w:val="00AA1799"/>
    <w:rsid w:val="00B31E26"/>
    <w:rsid w:val="00B32E08"/>
    <w:rsid w:val="00B45AB2"/>
    <w:rsid w:val="00B70B2E"/>
    <w:rsid w:val="00B71801"/>
    <w:rsid w:val="00B7326B"/>
    <w:rsid w:val="00B90A68"/>
    <w:rsid w:val="00B90E0C"/>
    <w:rsid w:val="00BA406D"/>
    <w:rsid w:val="00BB50E1"/>
    <w:rsid w:val="00BE0817"/>
    <w:rsid w:val="00BE3A18"/>
    <w:rsid w:val="00BE669D"/>
    <w:rsid w:val="00BF0D64"/>
    <w:rsid w:val="00C01105"/>
    <w:rsid w:val="00C040A1"/>
    <w:rsid w:val="00C10C92"/>
    <w:rsid w:val="00C12DD6"/>
    <w:rsid w:val="00C15F2D"/>
    <w:rsid w:val="00C1674B"/>
    <w:rsid w:val="00C3737F"/>
    <w:rsid w:val="00C45E09"/>
    <w:rsid w:val="00C462C0"/>
    <w:rsid w:val="00C567F2"/>
    <w:rsid w:val="00C7740F"/>
    <w:rsid w:val="00C83AE9"/>
    <w:rsid w:val="00C84619"/>
    <w:rsid w:val="00C90E25"/>
    <w:rsid w:val="00C9469D"/>
    <w:rsid w:val="00CA1D91"/>
    <w:rsid w:val="00CA3037"/>
    <w:rsid w:val="00CA492E"/>
    <w:rsid w:val="00CB2435"/>
    <w:rsid w:val="00CC54A8"/>
    <w:rsid w:val="00CE152D"/>
    <w:rsid w:val="00CF5C98"/>
    <w:rsid w:val="00D22A9C"/>
    <w:rsid w:val="00D34657"/>
    <w:rsid w:val="00D4368D"/>
    <w:rsid w:val="00D47702"/>
    <w:rsid w:val="00D8335A"/>
    <w:rsid w:val="00D83739"/>
    <w:rsid w:val="00D958A3"/>
    <w:rsid w:val="00DB6487"/>
    <w:rsid w:val="00DD1EEA"/>
    <w:rsid w:val="00DE1AEA"/>
    <w:rsid w:val="00DF40D7"/>
    <w:rsid w:val="00E34C86"/>
    <w:rsid w:val="00E544F4"/>
    <w:rsid w:val="00E630B9"/>
    <w:rsid w:val="00E72561"/>
    <w:rsid w:val="00E967CC"/>
    <w:rsid w:val="00EB3DC1"/>
    <w:rsid w:val="00EC4510"/>
    <w:rsid w:val="00EE1DE2"/>
    <w:rsid w:val="00EE3EEE"/>
    <w:rsid w:val="00F245A5"/>
    <w:rsid w:val="00F31C14"/>
    <w:rsid w:val="00F36E83"/>
    <w:rsid w:val="00F36F4D"/>
    <w:rsid w:val="00F414E3"/>
    <w:rsid w:val="00F43928"/>
    <w:rsid w:val="00F537A2"/>
    <w:rsid w:val="00F61B10"/>
    <w:rsid w:val="00F741B1"/>
    <w:rsid w:val="00F90D01"/>
    <w:rsid w:val="00F9125E"/>
    <w:rsid w:val="00F96F58"/>
    <w:rsid w:val="00FA2F00"/>
    <w:rsid w:val="00FA676A"/>
    <w:rsid w:val="00FD3FDE"/>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EAF58D6F-CEBA-4B17-BAF9-6C97E118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BSh13</b:Tag>
    <b:SourceType>ConferenceProceedings</b:SourceType>
    <b:Guid>{E7C1468F-CAC4-449E-AC7F-695DC84DB9D0}</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8th Iranian Conference on Machine Vision and Image Processing (MVIP)</b:ConferenceName>
    <b:RefOrder>2</b:RefOrder>
  </b:Source>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Sha14</b:Tag>
    <b:SourceType>JournalArticle</b:SourceType>
    <b:Guid>{DB70C506-3DA9-4FF2-B934-62AE509EC42D}</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International Conference on Issues and Challenges in Intelligent Computing Techniques (ICICT)</b:ConferenceName>
    <b:RefOrder>3</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7</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23</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24</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15</b:RefOrder>
  </b:Source>
  <b:Source>
    <b:Tag>Cho17</b:Tag>
    <b:SourceType>ConferenceProceedings</b:SourceType>
    <b:Guid>{4C329767-A345-44FB-AF54-2827F6FAD623}</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19</b:RefOrder>
  </b:Source>
  <b:Source>
    <b:Tag>AKA17</b:Tag>
    <b:SourceType>ConferenceProceedings</b:SourceType>
    <b:Guid>{B73652C9-2CC9-48B3-A771-50C3E2AA2CC1}</b:Guid>
    <b:Author>
      <b:Author>
        <b:NameList>
          <b:Person>
            <b:Last>A. K. AlZubaidi</b:Last>
            <b:First>F.</b:First>
            <b:Middle>B. Sideseq, A. Faeq and M. Basil</b:Middle>
          </b:Person>
        </b:NameList>
      </b:Author>
    </b:Author>
    <b:Title>Computer aided diagnosis in digital pathology application: Review and perspective approach in lung cancer classification</b:Title>
    <b:Year>2017</b:Year>
    <b:ConferenceName>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18</b:RefOrder>
  </b:Source>
  <b:Source>
    <b:Tag>PRa17</b:Tag>
    <b:SourceType>ConferenceProceedings</b:SourceType>
    <b:Guid>{EFC86C00-EAB4-428A-BED0-17DFC57CDFFC}</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16</b:RefOrder>
  </b:Source>
  <b:Source>
    <b:Tag>VKu17</b:Tag>
    <b:SourceType>ConferenceProceedings</b:SourceType>
    <b:Guid>{15520676-9399-45D6-BB6B-D085E790FB0E}</b:Guid>
    <b:Author>
      <b:Author>
        <b:NameList>
          <b:Person>
            <b:Last>V. Kumar</b:Last>
            <b:First>F.</b:First>
            <b:Middle>Mohanty, B. Dash and S. Rup</b:Middle>
          </b:Person>
        </b:NameList>
      </b:Author>
    </b:Author>
    <b:Title>A hybrid computer-aided diagnosis system for abnormality detection in mammograms</b:Title>
    <b:Year>2017</b:Year>
    <b:ConferenceName>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17</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6</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8</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5</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9</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11</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12</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13</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14</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4</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10</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20</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21</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22</b:RefOrder>
  </b:Source>
</b:Sources>
</file>

<file path=customXml/itemProps1.xml><?xml version="1.0" encoding="utf-8"?>
<ds:datastoreItem xmlns:ds="http://schemas.openxmlformats.org/officeDocument/2006/customXml" ds:itemID="{689A9838-9A1A-4BB0-BC8D-7CDB5E90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3710</TotalTime>
  <Pages>13</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108</cp:revision>
  <dcterms:created xsi:type="dcterms:W3CDTF">2018-02-22T15:34:00Z</dcterms:created>
  <dcterms:modified xsi:type="dcterms:W3CDTF">2018-03-01T09:54:00Z</dcterms:modified>
</cp:coreProperties>
</file>