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Subsystems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Relate stakeholder to requirements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Relate functions to stakeholders'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requirements of each subsystem, inputs and outputs (N^2 diagram)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the interfaces between subsystems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need to keep in mind that there are other products as well —&gt; mention in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 have Port of Ashdod as a Crane customer but in the future, they may have more**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customers for STS cranes so order numbers may increase and we need to account for that.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Planning &amp; Control (P&amp;C)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Sequencing policy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Predict raw material requirements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capacity 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OEE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Management (PM)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Format the FEM Analysis data and results for the poster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 down parameters required for the estimation of the performance of the PS.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standards by analyzing machine failure modes, part failure modes (include STS cranes and other products by Etone)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Risk analysis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Design (PD)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Space occupied by each machine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 down curtain production sequence patterns (there are about 4-5)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plan a rough arrangement/grouping of machines according to the volume and sequence of those processes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of factory   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Finance &amp; Inventory Management (F&amp;IM)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Estimate the revenue generated by selling of parts according to the delivery requirement using the price of the produced goods mentioned.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financial model with the estimated revenue to predict the maximum affordable running cost of the Production System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Handles cost estimation (preparation costs, assembly costs, machine hourly rate, manufacturing costs, material costs, machine costs, labor costs, tooling costs etc…)  - Philip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ordering of materials (EOQ and ROP) estimation (inventory control)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Warehousing (storage of inventory) (private, order fulfillment, layout of warehouse in the floorplan) (related to the above point)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