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The FEM analysis should be included on our poster, because it has to do with the performance of our product. This can be partly done on our poster with a small handout, but we will see how much space there is once we compose our poster.</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Kirtan said some things about what the FMEA analysis should be about. He mentioned 3 points, which were regarding safety of the factory in case of an accident etc. Youssef if this is new for you it might be wise to contact Kirtan and discuss this with him and ask him about the FMEA, because it looked like he knew a lot about it already.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Contents for the poster:</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FMEA analysis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FEM analysis</w:t>
      </w:r>
    </w:p>
    <w:p w:rsidR="00000000" w:rsidDel="00000000" w:rsidP="00000000" w:rsidRDefault="00000000" w:rsidRPr="00000000" w14:paraId="00000006">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Maintenance strategy → optimized maintenance strategy, why is this the best → justify </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Maintenance KPI’s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Quality control of the 3 Lathes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