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Hello, I am Harish. Next I’ll be presenting the Electronics Design and the Failure mode Effect analysis of our vacuum cleaner bot.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the external environment and knowing the location of the bot precisely are two critical factors in implementing a coverage planning system.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solve this problem, we have chosen the IMU sensor and LIDAR sensor.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IMU we have chosen is MPU6050, an industry standard inertial measuring device with 6 degrees of freedom.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the selected LIDAR is TF-LUNA Micro LiDAR which has an operating range upto 8 metres.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interface with the sensors we have a ESP32 microcontroller, which publishes the data to the roscore and gives the navigation signals to motors.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power the entire bot, A Lithium ion battery pack made of LG HG2 18650 cells is designed.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aspects considered while choosing this were energy density, capacity and calendar life.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the motors needed to run the vacuum cleaner fans and to drive the wheels are chosen as well.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comes the feasibility of procurement and component testing.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calibration and testing of sensors we plan to use third party libraries like adafruit.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important point to note here is that 18650 cells require a thorough testing, hence capacity tests and Constant current discharge tests are designed.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the FMEA analysis of the electronics and navigation module is presented.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focus here is on the accuracy of implementation and safety of users. We identified three potential failure modes.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