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AA9" w:rsidRDefault="0080568C" w:rsidP="0080568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Financial Analysis Report </w:t>
      </w:r>
      <w:r w:rsidR="00A134A7">
        <w:rPr>
          <w:sz w:val="40"/>
          <w:szCs w:val="40"/>
        </w:rPr>
        <w:t xml:space="preserve">(FY26) </w:t>
      </w:r>
      <w:r>
        <w:rPr>
          <w:sz w:val="40"/>
          <w:szCs w:val="40"/>
        </w:rPr>
        <w:t>o</w:t>
      </w:r>
      <w:r w:rsidRPr="0080568C">
        <w:rPr>
          <w:sz w:val="40"/>
          <w:szCs w:val="40"/>
        </w:rPr>
        <w:t>f Hindustan Unilever LTD.</w:t>
      </w:r>
    </w:p>
    <w:p w:rsidR="0080568C" w:rsidRDefault="0080568C" w:rsidP="0080568C">
      <w:pPr>
        <w:rPr>
          <w:sz w:val="28"/>
          <w:szCs w:val="28"/>
        </w:rPr>
      </w:pPr>
      <w:r w:rsidRPr="0080568C">
        <w:rPr>
          <w:sz w:val="28"/>
          <w:szCs w:val="28"/>
        </w:rPr>
        <w:t>About the Company</w:t>
      </w:r>
    </w:p>
    <w:p w:rsidR="0080568C" w:rsidRDefault="0080568C" w:rsidP="0080568C">
      <w:pPr>
        <w:jc w:val="both"/>
        <w:rPr>
          <w:sz w:val="28"/>
          <w:szCs w:val="28"/>
        </w:rPr>
      </w:pPr>
      <w:r>
        <w:rPr>
          <w:sz w:val="28"/>
          <w:szCs w:val="28"/>
        </w:rPr>
        <w:t>Hindustan Unilever is in the FMCG business comprising primarily of Home Care, Beauty &amp; Personal Care and Foods &amp; Refreshment segments. The Company has manufacturing facilities across the country and sells primarily in India.</w:t>
      </w:r>
    </w:p>
    <w:p w:rsidR="0080568C" w:rsidRDefault="0080568C" w:rsidP="0080568C">
      <w:pPr>
        <w:rPr>
          <w:sz w:val="28"/>
          <w:szCs w:val="28"/>
        </w:rPr>
      </w:pPr>
    </w:p>
    <w:p w:rsidR="0080568C" w:rsidRDefault="0080568C" w:rsidP="0080568C">
      <w:pPr>
        <w:rPr>
          <w:sz w:val="28"/>
          <w:szCs w:val="28"/>
        </w:rPr>
      </w:pPr>
      <w:r>
        <w:rPr>
          <w:sz w:val="28"/>
          <w:szCs w:val="28"/>
        </w:rPr>
        <w:t>Hindustan Unilever Ltd Income Statement Analysis:</w:t>
      </w:r>
    </w:p>
    <w:p w:rsidR="0080568C" w:rsidRDefault="0080568C" w:rsidP="0080568C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3138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4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86" cy="232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4A7" w:rsidRDefault="007F71FB" w:rsidP="00A134A7">
      <w:pPr>
        <w:pStyle w:val="ListBullet"/>
      </w:pPr>
      <w:r>
        <w:t xml:space="preserve">Revenue for HUL has grown from </w:t>
      </w:r>
      <w:proofErr w:type="spellStart"/>
      <w:r>
        <w:t>Rs</w:t>
      </w:r>
      <w:proofErr w:type="spellEnd"/>
      <w:r>
        <w:t xml:space="preserve">. 33,162 Cr in 2017 to </w:t>
      </w:r>
      <w:proofErr w:type="spellStart"/>
      <w:r>
        <w:t>Rs</w:t>
      </w:r>
      <w:proofErr w:type="spellEnd"/>
      <w:r>
        <w:t>. 64,468 Cr in 2026</w:t>
      </w:r>
      <w:r w:rsidR="00A134A7">
        <w:t>.</w:t>
      </w:r>
    </w:p>
    <w:p w:rsidR="0080568C" w:rsidRDefault="00A134A7" w:rsidP="00A134A7">
      <w:pPr>
        <w:pStyle w:val="ListBullet"/>
      </w:pPr>
      <w:r>
        <w:t>The current year's revenue growth reflects an improvement from the growth recorded in the previous two years.</w:t>
      </w:r>
      <w:r w:rsidR="007F71FB">
        <w:t xml:space="preserve">       </w:t>
      </w:r>
    </w:p>
    <w:p w:rsidR="007F71FB" w:rsidRDefault="007F71FB" w:rsidP="007F71FB">
      <w:pPr>
        <w:pStyle w:val="ListBullet"/>
      </w:pPr>
      <w:r>
        <w:t>This shows a CAGR 7.67%. This indicates a consistent top-line growth.</w:t>
      </w:r>
    </w:p>
    <w:p w:rsidR="007F71FB" w:rsidRDefault="007F71FB" w:rsidP="007F71FB">
      <w:pPr>
        <w:pStyle w:val="ListBullet"/>
      </w:pPr>
      <w:r>
        <w:t>Estimated sales (2027-2031) show a stable growth indicating towards a mature company.</w:t>
      </w:r>
    </w:p>
    <w:p w:rsidR="007F71FB" w:rsidRDefault="007F71FB" w:rsidP="007F71FB">
      <w:pPr>
        <w:pStyle w:val="ListBullet"/>
      </w:pPr>
      <w:r>
        <w:t>The profit margins indicate a strong operational efficiency.</w:t>
      </w:r>
    </w:p>
    <w:p w:rsidR="00A134A7" w:rsidRDefault="007F71FB" w:rsidP="0080568C">
      <w:pPr>
        <w:pStyle w:val="ListBullet"/>
      </w:pPr>
      <w:r>
        <w:t>Estimated Gross Profit Margins</w:t>
      </w:r>
      <w:r w:rsidR="00A134A7">
        <w:t xml:space="preserve"> (2027-2031)</w:t>
      </w:r>
      <w:r>
        <w:t xml:space="preserve"> are also stable indicating sustainable pricing power.</w:t>
      </w:r>
    </w:p>
    <w:p w:rsidR="00A134A7" w:rsidRDefault="00A134A7" w:rsidP="0080568C">
      <w:pPr>
        <w:pStyle w:val="ListBullet"/>
      </w:pPr>
      <w:r>
        <w:t>The projected EBITDA margin of approximately 23% suggests the company is expected to maintain operational efficiency while supporting revenue growth.</w:t>
      </w:r>
      <w:r w:rsidRPr="00A134A7">
        <w:t xml:space="preserve"> </w:t>
      </w:r>
    </w:p>
    <w:p w:rsidR="0080568C" w:rsidRDefault="00A134A7" w:rsidP="0080568C">
      <w:pPr>
        <w:pStyle w:val="ListBullet"/>
      </w:pPr>
      <w:r>
        <w:t>The current year's revenue growth reflects an improvement from the growth recorded in the previous two years.</w:t>
      </w:r>
    </w:p>
    <w:p w:rsidR="00A134A7" w:rsidRDefault="00A134A7" w:rsidP="00A134A7">
      <w:pPr>
        <w:rPr>
          <w:sz w:val="40"/>
          <w:szCs w:val="40"/>
        </w:rPr>
      </w:pPr>
    </w:p>
    <w:p w:rsidR="00C94828" w:rsidRDefault="00A134A7" w:rsidP="00A134A7">
      <w:pPr>
        <w:rPr>
          <w:sz w:val="28"/>
          <w:szCs w:val="28"/>
        </w:rPr>
      </w:pPr>
      <w:r w:rsidRPr="00A134A7">
        <w:rPr>
          <w:sz w:val="28"/>
          <w:szCs w:val="28"/>
        </w:rPr>
        <w:t>Hindustan Unilever Ltd Balance Sheet</w:t>
      </w:r>
      <w:r w:rsidR="00C94828">
        <w:rPr>
          <w:sz w:val="28"/>
          <w:szCs w:val="28"/>
        </w:rPr>
        <w:t xml:space="preserve"> </w:t>
      </w:r>
      <w:proofErr w:type="gramStart"/>
      <w:r w:rsidR="00C94828">
        <w:rPr>
          <w:sz w:val="28"/>
          <w:szCs w:val="28"/>
        </w:rPr>
        <w:t>Analysis :</w:t>
      </w:r>
      <w:proofErr w:type="gramEnd"/>
    </w:p>
    <w:p w:rsidR="00A134A7" w:rsidRDefault="00A134A7" w:rsidP="00A134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26597" cy="1960033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5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292" cy="203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28" w:rsidRDefault="00C94828" w:rsidP="00C94828">
      <w:pPr>
        <w:pStyle w:val="ListBullet"/>
      </w:pPr>
      <w:r>
        <w:t>For the equity share capital, a slight change can be seen from the FY 2021, possibly due to corporate actions like a merger.</w:t>
      </w:r>
    </w:p>
    <w:p w:rsidR="00C94828" w:rsidRDefault="00C94828" w:rsidP="00C94828">
      <w:pPr>
        <w:pStyle w:val="ListBullet"/>
      </w:pPr>
      <w:r>
        <w:t>A huge jump can be seen in the Reserves in FY2021, the major reason being the GSK Healthcare Merger.</w:t>
      </w:r>
    </w:p>
    <w:p w:rsidR="00C94828" w:rsidRDefault="00C94828" w:rsidP="00C94828">
      <w:pPr>
        <w:pStyle w:val="ListBullet"/>
      </w:pPr>
      <w:r>
        <w:t>Major funding comes from Equity, relies very less on Debt.</w:t>
      </w: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  <w:r>
        <w:t>Hindustan Unilever Ltd. Cash Flow Statement Analysis:</w:t>
      </w: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  <w:r>
        <w:rPr>
          <w:noProof/>
          <w:lang w:eastAsia="en-IN"/>
        </w:rPr>
        <w:drawing>
          <wp:inline distT="0" distB="0" distL="0" distR="0">
            <wp:extent cx="5731510" cy="1866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5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  <w:r>
        <w:rPr>
          <w:noProof/>
          <w:lang w:eastAsia="en-IN"/>
        </w:rPr>
        <w:drawing>
          <wp:inline distT="0" distB="0" distL="0" distR="0">
            <wp:extent cx="5731510" cy="65463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5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32" cy="6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28" w:rsidRDefault="00C94828" w:rsidP="00C94828">
      <w:pPr>
        <w:pStyle w:val="ListBullet"/>
        <w:numPr>
          <w:ilvl w:val="0"/>
          <w:numId w:val="0"/>
        </w:numPr>
        <w:ind w:left="360"/>
      </w:pPr>
    </w:p>
    <w:p w:rsidR="004F4E0D" w:rsidRDefault="004F4E0D" w:rsidP="004F4E0D">
      <w:pPr>
        <w:pStyle w:val="ListBullet"/>
      </w:pPr>
      <w:r>
        <w:t>Steady and consistent growth can be seen in CFO. This reflects a robust business model, working capital efficiency, and brand-led pricing power.</w:t>
      </w:r>
    </w:p>
    <w:p w:rsidR="004F4E0D" w:rsidRDefault="004F4E0D" w:rsidP="004F4E0D">
      <w:pPr>
        <w:pStyle w:val="ListBullet"/>
      </w:pPr>
      <w:r>
        <w:t xml:space="preserve">The sudden increase in the CFO in FY2024 was likely due to one-time working capital inflows or tax benefits. </w:t>
      </w:r>
    </w:p>
    <w:p w:rsidR="004F4E0D" w:rsidRDefault="004F4E0D" w:rsidP="004F4E0D">
      <w:pPr>
        <w:pStyle w:val="ListBullet"/>
      </w:pPr>
      <w:r>
        <w:t>The CFI show mostly capex outflows expect for FY2020 and FY2025, which suggests non-core asset monetisation in these years.</w:t>
      </w:r>
    </w:p>
    <w:p w:rsidR="004F4E0D" w:rsidRDefault="004F4E0D" w:rsidP="004F4E0D">
      <w:pPr>
        <w:pStyle w:val="ListBullet"/>
      </w:pPr>
      <w:r>
        <w:t xml:space="preserve">For the CFF, outflow of </w:t>
      </w:r>
      <w:proofErr w:type="spellStart"/>
      <w:r>
        <w:t>Rs</w:t>
      </w:r>
      <w:proofErr w:type="spellEnd"/>
      <w:r>
        <w:t>. 13,101 Cr. Suggests either a larger dividend or settlement of lease/other liabilities.</w:t>
      </w:r>
    </w:p>
    <w:p w:rsidR="004F4E0D" w:rsidRDefault="004F4E0D" w:rsidP="004F4E0D">
      <w:pPr>
        <w:pStyle w:val="ListBullet"/>
      </w:pPr>
      <w:r>
        <w:lastRenderedPageBreak/>
        <w:t>Despite fluctuations in net cash flow, the company maintains healthy operating cash flows, enabling it to comfortably fund capital expenditure and dividend distributions without significant reliance on debt.</w:t>
      </w:r>
    </w:p>
    <w:p w:rsidR="004F4E0D" w:rsidRDefault="004F4E0D" w:rsidP="004F4E0D">
      <w:pPr>
        <w:pStyle w:val="ListBullet"/>
        <w:numPr>
          <w:ilvl w:val="0"/>
          <w:numId w:val="0"/>
        </w:numPr>
        <w:ind w:left="360"/>
      </w:pPr>
    </w:p>
    <w:p w:rsidR="004F4E0D" w:rsidRDefault="004F4E0D" w:rsidP="004F4E0D">
      <w:pPr>
        <w:pStyle w:val="ListBullet"/>
        <w:numPr>
          <w:ilvl w:val="0"/>
          <w:numId w:val="0"/>
        </w:numPr>
        <w:ind w:left="360"/>
      </w:pPr>
    </w:p>
    <w:p w:rsidR="004F4E0D" w:rsidRDefault="004F4E0D" w:rsidP="004F4E0D">
      <w:pPr>
        <w:pStyle w:val="ListBullet"/>
        <w:numPr>
          <w:ilvl w:val="0"/>
          <w:numId w:val="0"/>
        </w:numPr>
        <w:ind w:left="360" w:hanging="360"/>
      </w:pPr>
    </w:p>
    <w:p w:rsidR="004F4E0D" w:rsidRDefault="004F4E0D" w:rsidP="004F4E0D">
      <w:pPr>
        <w:pStyle w:val="ListBullet"/>
        <w:numPr>
          <w:ilvl w:val="0"/>
          <w:numId w:val="0"/>
        </w:numPr>
        <w:ind w:left="360" w:hanging="360"/>
      </w:pPr>
      <w:r>
        <w:t>Valuation of Hindustan Unilever Ltd.</w:t>
      </w:r>
    </w:p>
    <w:p w:rsidR="004F4E0D" w:rsidRDefault="004F4E0D" w:rsidP="004F4E0D">
      <w:pPr>
        <w:pStyle w:val="ListBullet"/>
        <w:numPr>
          <w:ilvl w:val="0"/>
          <w:numId w:val="0"/>
        </w:numPr>
        <w:ind w:left="360" w:hanging="360"/>
      </w:pPr>
    </w:p>
    <w:p w:rsidR="0033520C" w:rsidRDefault="0033520C" w:rsidP="0033520C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eastAsia="en-IN"/>
        </w:rPr>
        <w:drawing>
          <wp:inline distT="0" distB="0" distL="0" distR="0">
            <wp:extent cx="5731510" cy="20281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5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C" w:rsidRDefault="0033520C" w:rsidP="0033520C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eastAsia="en-IN"/>
        </w:rPr>
        <w:drawing>
          <wp:inline distT="0" distB="0" distL="0" distR="0">
            <wp:extent cx="5731510" cy="7340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7 13303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C" w:rsidRDefault="0033520C" w:rsidP="0033520C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eastAsia="en-IN"/>
        </w:rPr>
        <w:drawing>
          <wp:inline distT="0" distB="0" distL="0" distR="0">
            <wp:extent cx="5731510" cy="495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5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C" w:rsidRDefault="0033520C" w:rsidP="0033520C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eastAsia="en-IN"/>
        </w:rPr>
        <w:drawing>
          <wp:inline distT="0" distB="0" distL="0" distR="0">
            <wp:extent cx="5731510" cy="16268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7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C" w:rsidRDefault="0033520C" w:rsidP="0033520C">
      <w:pPr>
        <w:pStyle w:val="ListBullet"/>
        <w:numPr>
          <w:ilvl w:val="0"/>
          <w:numId w:val="0"/>
        </w:numPr>
        <w:ind w:left="360" w:hanging="360"/>
      </w:pPr>
    </w:p>
    <w:p w:rsidR="001D51D2" w:rsidRPr="001D51D2" w:rsidRDefault="001D51D2" w:rsidP="001D51D2">
      <w:pPr>
        <w:pStyle w:val="ListBullet"/>
      </w:pPr>
      <w:r>
        <w:t>Current valuation is premium but defendable due to high return ratios (ROE ~19%), exceptional cash flows, predictability in earnings.</w:t>
      </w:r>
    </w:p>
    <w:p w:rsidR="001D51D2" w:rsidRDefault="001D51D2" w:rsidP="001D51D2">
      <w:pPr>
        <w:pStyle w:val="ListBullet"/>
      </w:pPr>
      <w:r>
        <w:t>However, future returns may be capped unless:</w:t>
      </w:r>
    </w:p>
    <w:p w:rsidR="001D51D2" w:rsidRPr="001D51D2" w:rsidRDefault="001D51D2" w:rsidP="001D51D2">
      <w:pPr>
        <w:pStyle w:val="ListBullet"/>
        <w:numPr>
          <w:ilvl w:val="0"/>
          <w:numId w:val="0"/>
        </w:numPr>
        <w:ind w:left="720"/>
        <w:rPr>
          <w:rFonts w:eastAsia="Times New Roman" w:cstheme="minorHAnsi"/>
          <w:lang w:eastAsia="en-IN"/>
        </w:rPr>
      </w:pPr>
      <w:r w:rsidRPr="001D51D2">
        <w:rPr>
          <w:rFonts w:eastAsia="Times New Roman" w:cstheme="minorHAnsi"/>
          <w:lang w:eastAsia="en-IN"/>
        </w:rPr>
        <w:t>Rural demand sees a sharp rebound.</w:t>
      </w:r>
    </w:p>
    <w:p w:rsidR="001D51D2" w:rsidRPr="001D51D2" w:rsidRDefault="001D51D2" w:rsidP="001D51D2">
      <w:pPr>
        <w:pStyle w:val="ListBullet"/>
        <w:numPr>
          <w:ilvl w:val="0"/>
          <w:numId w:val="0"/>
        </w:numPr>
        <w:ind w:left="720"/>
        <w:rPr>
          <w:rFonts w:eastAsia="Times New Roman" w:cstheme="minorHAnsi"/>
          <w:lang w:eastAsia="en-IN"/>
        </w:rPr>
      </w:pPr>
      <w:r w:rsidRPr="001D51D2">
        <w:rPr>
          <w:rFonts w:eastAsia="Times New Roman" w:cstheme="minorHAnsi"/>
          <w:lang w:eastAsia="en-IN"/>
        </w:rPr>
        <w:t>New growth categories like premium skincare and beverages scale materially.</w:t>
      </w:r>
    </w:p>
    <w:p w:rsidR="001D51D2" w:rsidRPr="001D51D2" w:rsidRDefault="001D51D2" w:rsidP="001D51D2">
      <w:pPr>
        <w:pStyle w:val="ListBullet"/>
        <w:numPr>
          <w:ilvl w:val="0"/>
          <w:numId w:val="0"/>
        </w:numPr>
        <w:ind w:left="720"/>
      </w:pPr>
      <w:r w:rsidRPr="001D51D2">
        <w:rPr>
          <w:rFonts w:eastAsia="Times New Roman" w:cstheme="minorHAnsi"/>
          <w:lang w:eastAsia="en-IN"/>
        </w:rPr>
        <w:t>Margin expansion or new product penetration surprises on the upside</w:t>
      </w:r>
      <w:r w:rsidRPr="001D51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D51D2" w:rsidRDefault="001D51D2" w:rsidP="001D51D2">
      <w:pPr>
        <w:pStyle w:val="ListBullet"/>
      </w:pPr>
      <w:r>
        <w:t>P/E ratio of 52.05 in the FY 2026 indicates a premium valuation, which is in line with the historical averages (typically 45-70x).</w:t>
      </w:r>
    </w:p>
    <w:p w:rsidR="001D51D2" w:rsidRDefault="001D51D2" w:rsidP="001D51D2">
      <w:pPr>
        <w:pStyle w:val="ListBullet"/>
      </w:pPr>
      <w:r>
        <w:t>EV/EBITDA</w:t>
      </w:r>
      <w:r>
        <w:tab/>
        <w:t>multiple is almost 35x, which is generally considered high. This suggests high market expectations for HUL’S profitability and growth.</w:t>
      </w:r>
    </w:p>
    <w:p w:rsidR="007E6D84" w:rsidRDefault="007E6D84" w:rsidP="001D51D2">
      <w:pPr>
        <w:pStyle w:val="ListBullet"/>
      </w:pPr>
      <w:r>
        <w:t xml:space="preserve">The share price is slightly overvalued, ranging from </w:t>
      </w:r>
      <w:proofErr w:type="spellStart"/>
      <w:r>
        <w:t>Rs</w:t>
      </w:r>
      <w:proofErr w:type="spellEnd"/>
      <w:r>
        <w:t xml:space="preserve">. 2200 – </w:t>
      </w:r>
      <w:proofErr w:type="spellStart"/>
      <w:r>
        <w:t>Rs</w:t>
      </w:r>
      <w:proofErr w:type="spellEnd"/>
      <w:r>
        <w:t>. 3200.</w:t>
      </w:r>
    </w:p>
    <w:p w:rsidR="007E6D84" w:rsidRDefault="007E6D84" w:rsidP="001D51D2">
      <w:pPr>
        <w:pStyle w:val="ListBullet"/>
      </w:pPr>
      <w:r>
        <w:t xml:space="preserve">Dividend yield is modest, but </w:t>
      </w:r>
      <w:proofErr w:type="spellStart"/>
      <w:r>
        <w:t>payout</w:t>
      </w:r>
      <w:proofErr w:type="spellEnd"/>
      <w:r>
        <w:t xml:space="preserve"> ratios are high.</w:t>
      </w:r>
    </w:p>
    <w:p w:rsidR="001D51D2" w:rsidRDefault="001D51D2" w:rsidP="001D51D2">
      <w:pPr>
        <w:pStyle w:val="ListBullet"/>
        <w:numPr>
          <w:ilvl w:val="0"/>
          <w:numId w:val="0"/>
        </w:numPr>
        <w:ind w:left="360"/>
      </w:pPr>
    </w:p>
    <w:p w:rsidR="001D51D2" w:rsidRDefault="001D51D2" w:rsidP="001D51D2">
      <w:pPr>
        <w:pStyle w:val="ListBullet"/>
        <w:numPr>
          <w:ilvl w:val="0"/>
          <w:numId w:val="0"/>
        </w:numPr>
        <w:ind w:left="360"/>
      </w:pPr>
    </w:p>
    <w:p w:rsidR="001D51D2" w:rsidRDefault="001D51D2" w:rsidP="0034216A">
      <w:pPr>
        <w:pStyle w:val="ListBullet"/>
        <w:numPr>
          <w:ilvl w:val="0"/>
          <w:numId w:val="0"/>
        </w:numPr>
      </w:pPr>
      <w:r>
        <w:t>Ratio Analysis for HUL Unilever LTD.</w:t>
      </w:r>
    </w:p>
    <w:p w:rsidR="001D51D2" w:rsidRDefault="001D51D2" w:rsidP="001D51D2">
      <w:pPr>
        <w:pStyle w:val="ListBullet"/>
        <w:numPr>
          <w:ilvl w:val="0"/>
          <w:numId w:val="0"/>
        </w:numPr>
        <w:ind w:left="360"/>
      </w:pPr>
    </w:p>
    <w:p w:rsidR="001D51D2" w:rsidRDefault="001D51D2" w:rsidP="0034216A">
      <w:pPr>
        <w:pStyle w:val="ListBullet"/>
        <w:numPr>
          <w:ilvl w:val="0"/>
          <w:numId w:val="0"/>
        </w:numPr>
      </w:pPr>
      <w:r>
        <w:rPr>
          <w:noProof/>
          <w:lang w:eastAsia="en-IN"/>
        </w:rPr>
        <w:drawing>
          <wp:inline distT="0" distB="0" distL="0" distR="0">
            <wp:extent cx="5800958" cy="234696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5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15" cy="234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D2" w:rsidRDefault="001D51D2" w:rsidP="0034216A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eastAsia="en-IN"/>
        </w:rPr>
        <w:drawing>
          <wp:inline distT="0" distB="0" distL="0" distR="0">
            <wp:extent cx="5731510" cy="6134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60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D2" w:rsidRDefault="001D51D2" w:rsidP="001D51D2">
      <w:pPr>
        <w:pStyle w:val="ListBullet"/>
        <w:numPr>
          <w:ilvl w:val="0"/>
          <w:numId w:val="0"/>
        </w:numPr>
        <w:ind w:left="360"/>
      </w:pPr>
    </w:p>
    <w:p w:rsidR="001D51D2" w:rsidRDefault="001D51D2" w:rsidP="001D51D2">
      <w:pPr>
        <w:pStyle w:val="ListBullet"/>
        <w:numPr>
          <w:ilvl w:val="0"/>
          <w:numId w:val="0"/>
        </w:numPr>
        <w:ind w:left="360"/>
      </w:pPr>
    </w:p>
    <w:p w:rsidR="001D51D2" w:rsidRDefault="00475AB0" w:rsidP="0034216A">
      <w:pPr>
        <w:pStyle w:val="ListBullet"/>
      </w:pPr>
      <w:r>
        <w:t>Gross Profit Margin remained stable between 43% and 46%, indicating strong pricing power</w:t>
      </w:r>
      <w:r w:rsidR="002E2D32">
        <w:t xml:space="preserve"> and </w:t>
      </w:r>
      <w:r>
        <w:t>effective cost management despite, fluctuations in raw material costs.</w:t>
      </w:r>
    </w:p>
    <w:p w:rsidR="001D51D2" w:rsidRDefault="00475AB0" w:rsidP="001D51D2">
      <w:pPr>
        <w:pStyle w:val="ListBullet"/>
        <w:numPr>
          <w:ilvl w:val="0"/>
          <w:numId w:val="0"/>
        </w:numPr>
      </w:pPr>
      <w:r>
        <w:t xml:space="preserve">             (</w:t>
      </w:r>
      <w:r w:rsidRPr="00475AB0">
        <w:rPr>
          <w:i/>
        </w:rPr>
        <w:t>GPM ranges from 41.35% to 47.64% and stays around 43–45% in the forecast</w:t>
      </w:r>
      <w:r>
        <w:t>)</w:t>
      </w:r>
    </w:p>
    <w:p w:rsidR="002E2D32" w:rsidRDefault="00475AB0" w:rsidP="002E2D32">
      <w:pPr>
        <w:spacing w:after="0" w:line="240" w:lineRule="auto"/>
        <w:rPr>
          <w:rFonts w:eastAsia="Times New Roman" w:cstheme="minorHAnsi"/>
          <w:bCs/>
          <w:lang w:eastAsia="en-IN"/>
        </w:rPr>
      </w:pPr>
      <w:r w:rsidRPr="00475AB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75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5AB0">
        <w:rPr>
          <w:rFonts w:eastAsia="Times New Roman" w:cstheme="minorHAnsi"/>
          <w:bCs/>
          <w:lang w:eastAsia="en-IN"/>
        </w:rPr>
        <w:t>EBITDA and Net Profit Margins remained consistently strong at around 22–24% and 14–15%,</w:t>
      </w:r>
    </w:p>
    <w:p w:rsidR="00475AB0" w:rsidRDefault="00475AB0" w:rsidP="002E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AB0">
        <w:rPr>
          <w:rFonts w:eastAsia="Times New Roman" w:cstheme="minorHAnsi"/>
          <w:bCs/>
          <w:lang w:eastAsia="en-IN"/>
        </w:rPr>
        <w:t xml:space="preserve"> </w:t>
      </w:r>
      <w:r w:rsidR="002E2D32">
        <w:rPr>
          <w:rFonts w:eastAsia="Times New Roman" w:cstheme="minorHAnsi"/>
          <w:bCs/>
          <w:lang w:eastAsia="en-IN"/>
        </w:rPr>
        <w:t xml:space="preserve">     </w:t>
      </w:r>
      <w:r w:rsidRPr="00475AB0">
        <w:rPr>
          <w:rFonts w:eastAsia="Times New Roman" w:cstheme="minorHAnsi"/>
          <w:bCs/>
          <w:lang w:eastAsia="en-IN"/>
        </w:rPr>
        <w:t>reflecting stable operating profitability.</w:t>
      </w:r>
    </w:p>
    <w:p w:rsidR="00475AB0" w:rsidRDefault="00475AB0" w:rsidP="00475AB0">
      <w:pPr>
        <w:spacing w:after="0" w:line="240" w:lineRule="auto"/>
        <w:rPr>
          <w:rFonts w:eastAsia="Times New Roman" w:cstheme="minorHAnsi"/>
          <w:i/>
          <w:lang w:eastAsia="en-IN"/>
        </w:rPr>
      </w:pPr>
      <w:r w:rsidRPr="00475AB0">
        <w:rPr>
          <w:rFonts w:ascii="Times New Roman" w:eastAsia="Times New Roman" w:hAnsi="Times New Roman" w:cs="Times New Roman"/>
          <w:i/>
          <w:lang w:eastAsia="en-IN"/>
        </w:rPr>
        <w:t xml:space="preserve">   </w:t>
      </w:r>
      <w:r>
        <w:rPr>
          <w:rFonts w:ascii="Times New Roman" w:eastAsia="Times New Roman" w:hAnsi="Times New Roman" w:cs="Times New Roman"/>
          <w:i/>
          <w:lang w:eastAsia="en-IN"/>
        </w:rPr>
        <w:t xml:space="preserve"> </w:t>
      </w:r>
      <w:r w:rsidRPr="00475AB0">
        <w:rPr>
          <w:rFonts w:ascii="Times New Roman" w:eastAsia="Times New Roman" w:hAnsi="Times New Roman" w:cs="Times New Roman"/>
          <w:i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lang w:eastAsia="en-IN"/>
        </w:rPr>
        <w:t xml:space="preserve"> </w:t>
      </w:r>
      <w:r w:rsidRPr="00475AB0">
        <w:rPr>
          <w:rFonts w:ascii="Times New Roman" w:eastAsia="Times New Roman" w:hAnsi="Times New Roman" w:cs="Times New Roman"/>
          <w:i/>
          <w:lang w:eastAsia="en-IN"/>
        </w:rPr>
        <w:t xml:space="preserve"> </w:t>
      </w:r>
      <w:r w:rsidR="002E2D32">
        <w:rPr>
          <w:rFonts w:ascii="Times New Roman" w:eastAsia="Times New Roman" w:hAnsi="Times New Roman" w:cs="Times New Roman"/>
          <w:i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i/>
          <w:lang w:eastAsia="en-IN"/>
        </w:rPr>
        <w:t xml:space="preserve"> </w:t>
      </w:r>
      <w:r w:rsidRPr="00475AB0">
        <w:rPr>
          <w:rFonts w:ascii="Times New Roman" w:eastAsia="Times New Roman" w:hAnsi="Times New Roman" w:cs="Times New Roman"/>
          <w:i/>
          <w:lang w:eastAsia="en-IN"/>
        </w:rPr>
        <w:t xml:space="preserve"> </w:t>
      </w:r>
      <w:r w:rsidRPr="00475AB0">
        <w:rPr>
          <w:rFonts w:eastAsia="Times New Roman" w:cstheme="minorHAnsi"/>
          <w:i/>
          <w:iCs/>
          <w:lang w:eastAsia="en-IN"/>
        </w:rPr>
        <w:t>(EBITDA Margin of 22–24% and Net Margin of 14–15%.)</w:t>
      </w:r>
      <w:r w:rsidRPr="00475AB0">
        <w:rPr>
          <w:rFonts w:eastAsia="Times New Roman" w:cstheme="minorHAnsi"/>
          <w:i/>
          <w:lang w:eastAsia="en-IN"/>
        </w:rPr>
        <w:t xml:space="preserve"> </w:t>
      </w:r>
    </w:p>
    <w:p w:rsidR="00475AB0" w:rsidRPr="00475AB0" w:rsidRDefault="00475AB0" w:rsidP="00475AB0">
      <w:pPr>
        <w:spacing w:after="0" w:line="240" w:lineRule="auto"/>
        <w:rPr>
          <w:rFonts w:eastAsia="Times New Roman" w:cstheme="minorHAnsi"/>
          <w:i/>
          <w:lang w:eastAsia="en-IN"/>
        </w:rPr>
      </w:pPr>
    </w:p>
    <w:p w:rsidR="002E2D32" w:rsidRDefault="00475AB0" w:rsidP="00475AB0">
      <w:pPr>
        <w:spacing w:after="0" w:line="240" w:lineRule="auto"/>
        <w:rPr>
          <w:rFonts w:eastAsia="Times New Roman" w:cstheme="minorHAnsi"/>
          <w:bCs/>
          <w:lang w:eastAsia="en-IN"/>
        </w:rPr>
      </w:pPr>
      <w:r w:rsidRPr="00475AB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75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5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5AB0">
        <w:rPr>
          <w:rFonts w:eastAsia="Times New Roman" w:cstheme="minorHAnsi"/>
          <w:bCs/>
          <w:lang w:eastAsia="en-IN"/>
        </w:rPr>
        <w:t>ROE declined after FY2021 and stabilized around 18–19%</w:t>
      </w:r>
      <w:r w:rsidR="002E2D32">
        <w:rPr>
          <w:rFonts w:eastAsia="Times New Roman" w:cstheme="minorHAnsi"/>
          <w:bCs/>
          <w:lang w:eastAsia="en-IN"/>
        </w:rPr>
        <w:t>, mainly due to the increase in</w:t>
      </w:r>
    </w:p>
    <w:p w:rsidR="00475AB0" w:rsidRPr="002E2D32" w:rsidRDefault="002E2D32" w:rsidP="00475AB0">
      <w:pPr>
        <w:spacing w:after="0" w:line="240" w:lineRule="auto"/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 xml:space="preserve">      </w:t>
      </w:r>
      <w:r w:rsidR="00475AB0" w:rsidRPr="00475AB0">
        <w:rPr>
          <w:rFonts w:eastAsia="Times New Roman" w:cstheme="minorHAnsi"/>
          <w:bCs/>
          <w:lang w:eastAsia="en-IN"/>
        </w:rPr>
        <w:t>shareholders' equity following the GSK Consumer Healthcare merger.</w:t>
      </w:r>
      <w:r w:rsidR="00475AB0" w:rsidRPr="00475AB0">
        <w:rPr>
          <w:rFonts w:eastAsia="Times New Roman" w:cstheme="minorHAnsi"/>
          <w:lang w:eastAsia="en-IN"/>
        </w:rPr>
        <w:t xml:space="preserve"> </w:t>
      </w:r>
    </w:p>
    <w:p w:rsidR="00475AB0" w:rsidRPr="00475AB0" w:rsidRDefault="00475AB0" w:rsidP="00475AB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 </w:t>
      </w:r>
    </w:p>
    <w:p w:rsidR="00475AB0" w:rsidRPr="002E2D32" w:rsidRDefault="00475AB0" w:rsidP="00475AB0">
      <w:pPr>
        <w:pStyle w:val="ListBullet"/>
        <w:rPr>
          <w:lang w:eastAsia="en-IN"/>
        </w:rPr>
      </w:pPr>
      <w:r>
        <w:rPr>
          <w:lang w:eastAsia="en-IN"/>
        </w:rPr>
        <w:t>T</w:t>
      </w:r>
      <w:r w:rsidRPr="00475AB0">
        <w:rPr>
          <w:lang w:eastAsia="en-IN"/>
        </w:rPr>
        <w:t xml:space="preserve">he company maintains a very low Debt-to-Equity ratio (around 0.02–0.04) and a high Interest Coverage Ratio (above 25x), indicating low financial risk and a strong ability to service debt. </w:t>
      </w:r>
      <w:r>
        <w:rPr>
          <w:lang w:eastAsia="en-IN"/>
        </w:rPr>
        <w:t xml:space="preserve">        </w:t>
      </w:r>
    </w:p>
    <w:p w:rsidR="002E2D32" w:rsidRPr="00475AB0" w:rsidRDefault="002E2D32" w:rsidP="002E2D32">
      <w:pPr>
        <w:pStyle w:val="ListBullet"/>
        <w:numPr>
          <w:ilvl w:val="0"/>
          <w:numId w:val="0"/>
        </w:numPr>
        <w:ind w:left="360"/>
        <w:rPr>
          <w:lang w:eastAsia="en-IN"/>
        </w:rPr>
      </w:pPr>
    </w:p>
    <w:p w:rsidR="00475AB0" w:rsidRDefault="00475AB0" w:rsidP="002E2D32">
      <w:pPr>
        <w:pStyle w:val="ListBullet"/>
        <w:rPr>
          <w:lang w:eastAsia="en-IN"/>
        </w:rPr>
      </w:pPr>
      <w:r>
        <w:rPr>
          <w:lang w:eastAsia="en-IN"/>
        </w:rPr>
        <w:t xml:space="preserve"> I</w:t>
      </w:r>
      <w:r w:rsidRPr="00475AB0">
        <w:rPr>
          <w:lang w:eastAsia="en-IN"/>
        </w:rPr>
        <w:t>nventory and Receivables Turnover remained strong, while the negative Cash Conversion Cycle indicates efficient working capital management, allowing the company to collect cash before paying suppliers.</w:t>
      </w:r>
    </w:p>
    <w:p w:rsidR="00475AB0" w:rsidRDefault="00475AB0" w:rsidP="007E6D84">
      <w:pPr>
        <w:pStyle w:val="ListBullet"/>
        <w:numPr>
          <w:ilvl w:val="0"/>
          <w:numId w:val="0"/>
        </w:numPr>
        <w:ind w:left="360"/>
        <w:rPr>
          <w:rFonts w:eastAsia="Times New Roman" w:cstheme="minorHAnsi"/>
          <w:i/>
          <w:iCs/>
          <w:lang w:eastAsia="en-IN"/>
        </w:rPr>
      </w:pPr>
      <w:r w:rsidRPr="002E2D32">
        <w:rPr>
          <w:i/>
          <w:lang w:eastAsia="en-IN"/>
        </w:rPr>
        <w:t xml:space="preserve"> </w:t>
      </w:r>
      <w:r w:rsidR="002E2D32">
        <w:rPr>
          <w:i/>
          <w:lang w:eastAsia="en-IN"/>
        </w:rPr>
        <w:t xml:space="preserve"> </w:t>
      </w:r>
      <w:r w:rsidRPr="002E2D32">
        <w:rPr>
          <w:i/>
          <w:lang w:eastAsia="en-IN"/>
        </w:rPr>
        <w:t xml:space="preserve">  </w:t>
      </w:r>
      <w:r w:rsidRPr="002E2D32">
        <w:rPr>
          <w:rFonts w:eastAsia="Times New Roman" w:cstheme="minorHAnsi"/>
          <w:i/>
          <w:iCs/>
          <w:lang w:eastAsia="en-IN"/>
        </w:rPr>
        <w:t xml:space="preserve">(CCC </w:t>
      </w:r>
      <w:r w:rsidR="007E6D84">
        <w:rPr>
          <w:rFonts w:eastAsia="Times New Roman" w:cstheme="minorHAnsi"/>
          <w:i/>
          <w:iCs/>
          <w:lang w:eastAsia="en-IN"/>
        </w:rPr>
        <w:t>remai</w:t>
      </w:r>
      <w:r w:rsidRPr="002E2D32">
        <w:rPr>
          <w:rFonts w:eastAsia="Times New Roman" w:cstheme="minorHAnsi"/>
          <w:i/>
          <w:iCs/>
          <w:lang w:eastAsia="en-IN"/>
        </w:rPr>
        <w:t>ns negative throughout the period.)</w:t>
      </w:r>
    </w:p>
    <w:p w:rsidR="007E6D84" w:rsidRDefault="007E6D84" w:rsidP="007E6D84">
      <w:pPr>
        <w:pStyle w:val="ListBullet"/>
        <w:numPr>
          <w:ilvl w:val="0"/>
          <w:numId w:val="0"/>
        </w:numPr>
        <w:ind w:left="360"/>
        <w:rPr>
          <w:rFonts w:eastAsia="Times New Roman" w:cstheme="minorHAnsi"/>
          <w:i/>
          <w:iCs/>
          <w:lang w:eastAsia="en-IN"/>
        </w:rPr>
      </w:pPr>
    </w:p>
    <w:p w:rsidR="007E6D84" w:rsidRDefault="007E6D84" w:rsidP="007E6D84">
      <w:pPr>
        <w:pStyle w:val="ListBullet"/>
        <w:numPr>
          <w:ilvl w:val="0"/>
          <w:numId w:val="0"/>
        </w:numPr>
        <w:ind w:left="360"/>
        <w:rPr>
          <w:rFonts w:eastAsia="Times New Roman" w:cstheme="minorHAnsi"/>
          <w:i/>
          <w:iCs/>
          <w:lang w:eastAsia="en-IN"/>
        </w:rPr>
      </w:pPr>
    </w:p>
    <w:p w:rsidR="007E6D84" w:rsidRPr="007E6D84" w:rsidRDefault="007E6D84" w:rsidP="007E6D84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7E6D84">
        <w:rPr>
          <w:rFonts w:asciiTheme="minorHAnsi" w:hAnsiTheme="minorHAnsi" w:cstheme="minorHAnsi"/>
          <w:b w:val="0"/>
          <w:sz w:val="22"/>
          <w:szCs w:val="22"/>
        </w:rPr>
        <w:t>Conclusion</w:t>
      </w:r>
      <w:r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7E6D84" w:rsidRPr="007E6D84" w:rsidRDefault="007E6D84" w:rsidP="007E6D84">
      <w:pPr>
        <w:pStyle w:val="ListBullet"/>
        <w:numPr>
          <w:ilvl w:val="0"/>
          <w:numId w:val="0"/>
        </w:numPr>
        <w:ind w:left="360"/>
        <w:rPr>
          <w:rFonts w:eastAsia="Times New Roman" w:cstheme="minorHAnsi"/>
          <w:i/>
          <w:iCs/>
          <w:lang w:eastAsia="en-IN"/>
        </w:rPr>
      </w:pPr>
      <w:r>
        <w:t xml:space="preserve">Hindustan Unilever Ltd. is a financially strong and well-established FMCG company with stable revenue growth, consistent profitability, and robust cash generation. The company maintains a conservative capital structure by relying primarily on equity while keeping debt at a minimal </w:t>
      </w:r>
      <w:r>
        <w:lastRenderedPageBreak/>
        <w:t>level. Strong operating cash flows, efficient working capital management, and healthy profitability ratios reflect its sound financial position. Although the stock currently trades at a premium valuation, its strong brand portfolio, resilient business model, and consistent financial performance support its long-term growth potential. Overall, Hindustan Unilever remains a fundamentally strong company and a suitable long-term investment for investors seeking stable and sustainable returns.</w:t>
      </w:r>
      <w:bookmarkStart w:id="0" w:name="_GoBack"/>
      <w:bookmarkEnd w:id="0"/>
    </w:p>
    <w:sectPr w:rsidR="007E6D84" w:rsidRPr="007E6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E68E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93EB0"/>
    <w:multiLevelType w:val="hybridMultilevel"/>
    <w:tmpl w:val="34AC2000"/>
    <w:lvl w:ilvl="0" w:tplc="CB32B6D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6D01BBE"/>
    <w:multiLevelType w:val="multilevel"/>
    <w:tmpl w:val="F4F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853D4"/>
    <w:multiLevelType w:val="multilevel"/>
    <w:tmpl w:val="75E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918B0"/>
    <w:multiLevelType w:val="hybridMultilevel"/>
    <w:tmpl w:val="545E2780"/>
    <w:lvl w:ilvl="0" w:tplc="453C8A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02E2B"/>
    <w:multiLevelType w:val="multilevel"/>
    <w:tmpl w:val="ABB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11217"/>
    <w:multiLevelType w:val="multilevel"/>
    <w:tmpl w:val="7AB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8391A"/>
    <w:multiLevelType w:val="multilevel"/>
    <w:tmpl w:val="937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68C"/>
    <w:rsid w:val="001D51D2"/>
    <w:rsid w:val="002E2D32"/>
    <w:rsid w:val="0033520C"/>
    <w:rsid w:val="0034216A"/>
    <w:rsid w:val="00475AB0"/>
    <w:rsid w:val="004F4E0D"/>
    <w:rsid w:val="005F06D6"/>
    <w:rsid w:val="007E6D84"/>
    <w:rsid w:val="007F71FB"/>
    <w:rsid w:val="0080568C"/>
    <w:rsid w:val="00A134A7"/>
    <w:rsid w:val="00C94828"/>
    <w:rsid w:val="00EB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7B36B"/>
  <w15:chartTrackingRefBased/>
  <w15:docId w15:val="{E20DB842-2199-4394-A18A-9AD87F2F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5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68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7F71FB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51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75AB0"/>
    <w:rPr>
      <w:b/>
      <w:bCs/>
    </w:rPr>
  </w:style>
  <w:style w:type="character" w:styleId="Emphasis">
    <w:name w:val="Emphasis"/>
    <w:basedOn w:val="DefaultParagraphFont"/>
    <w:uiPriority w:val="20"/>
    <w:qFormat/>
    <w:rsid w:val="00475AB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E6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2026-06-27T06:42:00Z</dcterms:created>
  <dcterms:modified xsi:type="dcterms:W3CDTF">2026-06-27T09:52:00Z</dcterms:modified>
</cp:coreProperties>
</file>