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EVision — Public EV charging demand and hotspot ranking</w:t>
      </w:r>
    </w:p>
    <w:p>
      <w:r>
        <w:t>Prepared from the processed outputs in backend/data/processed/.</w:t>
      </w:r>
    </w:p>
    <w:p>
      <w:r>
        <w:t>Panel: 3,519 city-months · 51 cities · January 2021 – September 2026.</w:t>
      </w:r>
    </w:p>
    <w:p>
      <w:r>
        <w:t>Models: M1 negative binomial, M2 logistic/LDA, M3 SARIMA/Holt-Winters, CDS.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India's public charging network is thin relative to the vehicle fleet, and the</w:t>
      </w:r>
    </w:p>
    <w:p>
      <w:r>
        <w:t>gap is unevenly distributed. Charge Point Operators need to decide where the</w:t>
      </w:r>
    </w:p>
    <w:p>
      <w:r>
        <w:t>next tranche of chargers should go. The obvious metric — total EVs divided by</w:t>
      </w:r>
    </w:p>
    <w:p>
      <w:r>
        <w:t>total chargers — is misleading, because personal two-wheelers mostly charge at</w:t>
      </w:r>
    </w:p>
    <w:p>
      <w:r>
        <w:t>home while commercial three-wheelers and four-wheelers depend on public</w:t>
      </w:r>
    </w:p>
    <w:p>
      <w:r>
        <w:t>infrastructure. EVision replaces that ratio with a weighted demand measure and</w:t>
      </w:r>
    </w:p>
    <w:p>
      <w:r>
        <w:t>ranks cities by a composite Charging Demand Score.</w:t>
      </w:r>
    </w:p>
    <w:p>
      <w:r>
        <w:t>The analysis covers 51 cities and 3,519 city-months from January 2021 to</w:t>
      </w:r>
    </w:p>
    <w:p>
      <w:r>
        <w:t>September 2026. Of the 68 configured cities, 51 have the full covariate set;</w:t>
      </w:r>
    </w:p>
    <w:p>
      <w:r>
        <w:t>the other 17 have registrations but no city-level chargers, census, or petrol</w:t>
      </w:r>
    </w:p>
    <w:p>
      <w:r>
        <w:t>and are excluded by default. The panel is 96.9% observed. Nine cities were</w:t>
      </w:r>
    </w:p>
    <w:p>
      <w:r>
        <w:t>added to the universe after 2021 and have no cached 2021 responses, which</w:t>
      </w:r>
    </w:p>
    <w:p>
      <w:r>
        <w:t>accounts for 108 of the 109 empty rows; the remaining row is a long interior</w:t>
      </w:r>
    </w:p>
    <w:p>
      <w:r>
        <w:t>gap. No values are imputed after filtering and 72 IQR outliers are flagged and</w:t>
      </w:r>
    </w:p>
    <w:p>
      <w:r>
        <w:t>winsorised rather than dropped.</w:t>
      </w:r>
    </w:p>
    <w:p>
      <w:r>
        <w:t>The four model outputs are:</w:t>
      </w:r>
    </w:p>
    <w:p>
      <w:pPr>
        <w:pStyle w:val="ListBullet"/>
      </w:pPr>
      <w:r>
        <w:t>M1 (drivers): non-EV market size is the dominant correlate of monthly EV</w:t>
      </w:r>
    </w:p>
    <w:p>
      <w:r>
        <w:t>registrations (IRR 2.72, p &lt; 0.001). Income is negative (IRR 0.56), which is</w:t>
      </w:r>
    </w:p>
    <w:p>
      <w:r>
        <w:t>consistent with early adoption concentrating in younger, higher-density</w:t>
      </w:r>
    </w:p>
    <w:p>
      <w:r>
        <w:t>markets but is not a causal estimate. The provisional policy score is</w:t>
      </w:r>
    </w:p>
    <w:p>
      <w:r>
        <w:t>positive (IRR 1.35, p = 0.001) but rests on unverified scores.</w:t>
      </w:r>
    </w:p>
    <w:p>
      <w:pPr>
        <w:pStyle w:val="ListBullet"/>
      </w:pPr>
      <w:r>
        <w:t>M2 (classifier): logistic regression and LDA separate High from Low</w:t>
      </w:r>
    </w:p>
    <w:p>
      <w:r>
        <w:t>demand with cross-validated AUC of 0.822 and 0.818 respectively. The</w:t>
      </w:r>
    </w:p>
    <w:p>
      <w:r>
        <w:t>train–CV gap is about 0.06, and leave-one-out accuracy is 76.5–78.4%. There is</w:t>
      </w:r>
    </w:p>
    <w:p>
      <w:r>
        <w:t>no label leakage: EV stock, chargers, and growth are excluded.</w:t>
      </w:r>
    </w:p>
    <w:p>
      <w:pPr>
        <w:pStyle w:val="ListBullet"/>
      </w:pPr>
      <w:r>
        <w:t>M3 (forecasts): all 51 cities are forecast with SARIMA or Holt-Winters;</w:t>
      </w:r>
    </w:p>
    <w:p>
      <w:r>
        <w:t>28 cities select SARIMA and 23 select Holt-Winters. Every forecast passes a</w:t>
      </w:r>
    </w:p>
    <w:p>
      <w:r>
        <w:t>holdout quality gate after the numerical fix described in Section 8.</w:t>
      </w:r>
    </w:p>
    <w:p>
      <w:pPr>
        <w:pStyle w:val="ListBullet"/>
      </w:pPr>
      <w:r>
        <w:t>CDS: Bengaluru, Jaipur, Delhi, Pune and Rajkot lead the ranking. Two cities</w:t>
      </w:r>
    </w:p>
    <w:p>
      <w:r>
        <w:t>are Critical and two High. The top-15 shortlist is stable under weight</w:t>
      </w:r>
    </w:p>
    <w:p>
      <w:r>
        <w:t>perturbations (14–15 of 15 cities retained).</w:t>
      </w:r>
    </w:p>
    <w:p>
      <w:r>
        <w:t>The main caveats are data-bound: policy scores are unverified, seven cities use</w:t>
      </w:r>
    </w:p>
    <w:p>
      <w:r>
        <w:t>municipal boundaries rather than urban agglomerations (their populations are now</w:t>
      </w:r>
    </w:p>
    <w:p>
      <w:r>
        <w:t>verified), eight cities show a large 2021→2022 level step, and chargers are a</w:t>
      </w:r>
    </w:p>
    <w:p>
      <w:r>
        <w:t>single snapshot. Section 11 lists them</w:t>
      </w:r>
    </w:p>
    <w:p>
      <w:r>
        <w:t>and Section 12 gives the order in which to close them.</w:t>
      </w:r>
    </w:p>
    <w:p>
      <w:r>
        <w:t>---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The siting problem</w:t>
      </w:r>
    </w:p>
    <w:p>
      <w:r>
        <w:t>India has millions of registered EVs and a public charging network that is both</w:t>
      </w:r>
    </w:p>
    <w:p>
      <w:r>
        <w:t>small and unevenly distributed. The policy question is not whether to build</w:t>
      </w:r>
    </w:p>
    <w:p>
      <w:r>
        <w:t>chargers but where the next ones should go. A CPO choosing between Patna,</w:t>
      </w:r>
    </w:p>
    <w:p>
      <w:r>
        <w:t>Bhubaneswar and Nashik needs a defensible ordering, not an anecdote.</w:t>
      </w:r>
    </w:p>
    <w:p>
      <w:pPr>
        <w:pStyle w:val="Heading3"/>
      </w:pPr>
      <w:r>
        <w:t>1.2 Why a raw EV-per-charger ratio fails</w:t>
      </w:r>
    </w:p>
    <w:p>
      <w:r>
        <w:t>A two-wheeler owner typically charges at home or at work. A three-wheeler</w:t>
      </w:r>
    </w:p>
    <w:p>
      <w:r>
        <w:t>operator and a four-wheeler fleet rely on public charging. A city with a large</w:t>
      </w:r>
    </w:p>
    <w:p>
      <w:r>
        <w:t>two-wheeler fleet and few chargers can therefore look "underserved" on a raw</w:t>
      </w:r>
    </w:p>
    <w:p>
      <w:r>
        <w:t>ratio while having little public demand. The effective-demand metric weights</w:t>
      </w:r>
    </w:p>
    <w:p>
      <w:r>
        <w:t>the fleet by its reliance on public infrastructure, then divides by the</w:t>
      </w:r>
    </w:p>
    <w:p>
      <w:r>
        <w:t>comparable charger count.</w:t>
      </w:r>
    </w:p>
    <w:p>
      <w:pPr>
        <w:pStyle w:val="Heading3"/>
      </w:pPr>
      <w:r>
        <w:t>1.3 What this project delivers</w:t>
      </w:r>
    </w:p>
    <w:p>
      <w:r>
        <w:t>EVision provides: a reproducible 2021–2026 city × month panel; a documented</w:t>
      </w:r>
    </w:p>
    <w:p>
      <w:r>
        <w:t>source lineage; a weighted demand metric; three statistical models; a composite</w:t>
      </w:r>
    </w:p>
    <w:p>
      <w:r>
        <w:t>score; a choropleth; and a shortlist. The code is organised so that each output</w:t>
      </w:r>
    </w:p>
    <w:p>
      <w:r>
        <w:t>can be regenerated from the source files and tested offline.</w:t>
      </w:r>
    </w:p>
    <w:p>
      <w:r>
        <w:t>---</w:t>
      </w:r>
    </w:p>
    <w:p>
      <w:pPr>
        <w:pStyle w:val="Heading2"/>
      </w:pPr>
      <w:r>
        <w:t>2. Objectives and scope</w:t>
      </w:r>
    </w:p>
    <w:p>
      <w:r>
        <w:t>The five objectives are:</w:t>
      </w:r>
    </w:p>
    <w:p>
      <w:pPr>
        <w:pStyle w:val="ListNumber"/>
      </w:pPr>
      <w:r>
        <w:t>Quantify effective public demand with 2W/3W/4W weights.</w:t>
      </w:r>
    </w:p>
    <w:p>
      <w:pPr>
        <w:pStyle w:val="ListNumber"/>
      </w:pPr>
      <w:r>
        <w:t>Identify adoption drivers with a negative binomial count model.</w:t>
      </w:r>
    </w:p>
    <w:p>
      <w:pPr>
        <w:pStyle w:val="ListNumber"/>
      </w:pPr>
      <w:r>
        <w:t>Classify High/Low demand with logistic regression and LDA.</w:t>
      </w:r>
    </w:p>
    <w:p>
      <w:pPr>
        <w:pStyle w:val="ListNumber"/>
      </w:pPr>
      <w:r>
        <w:t>Forecast 12-month growth per city with SARIMA (Holt-Winters as the</w:t>
      </w:r>
    </w:p>
    <w:p>
      <w:r>
        <w:t>holdout baseline).</w:t>
      </w:r>
    </w:p>
    <w:p>
      <w:pPr>
        <w:pStyle w:val="ListNumber"/>
      </w:pPr>
      <w:r>
        <w:t>Synthesise and rank hotspots with a Charging Demand Score and an</w:t>
      </w:r>
    </w:p>
    <w:p>
      <w:r>
        <w:t>interactive India map.</w:t>
      </w:r>
    </w:p>
    <w:p>
      <w:r>
        <w:t>Scope: 51 cities with covariates (68 configured), monthly data from January</w:t>
      </w:r>
    </w:p>
    <w:p>
      <w:r>
        <w:t>2021 to September 2026, and 2W/3W/4W segmentation where measured. Street-level</w:t>
      </w:r>
    </w:p>
    <w:p>
      <w:r>
        <w:t>siting, private home chargers, and battery swapping are out of scope.</w:t>
      </w:r>
    </w:p>
    <w:p>
      <w:r>
        <w:t>---</w:t>
      </w:r>
    </w:p>
    <w:p>
      <w:pPr>
        <w:pStyle w:val="Heading2"/>
      </w:pPr>
      <w:r>
        <w:t>3. Data and provenance</w:t>
      </w:r>
    </w:p>
    <w:p>
      <w:pPr>
        <w:pStyle w:val="Heading3"/>
      </w:pPr>
      <w:r>
        <w:t>3.1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Grain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registrations/vehicle-registrations-by-fuel-type.csv</w:t>
            </w:r>
          </w:p>
        </w:tc>
        <w:tc>
          <w:tcPr>
            <w:tcW w:type="dxa" w:w="2160"/>
          </w:tcPr>
          <w:p>
            <w:r>
              <w:t>563,642</w:t>
            </w:r>
          </w:p>
        </w:tc>
        <w:tc>
          <w:tcPr>
            <w:tcW w:type="dxa" w:w="2160"/>
          </w:tcPr>
          <w:p>
            <w:r>
              <w:t>RTO × month × fuel</w:t>
            </w:r>
          </w:p>
        </w:tc>
        <w:tc>
          <w:tcPr>
            <w:tcW w:type="dxa" w:w="2160"/>
          </w:tcPr>
          <w:p>
            <w:r>
              <w:t>EV registrations (Electric(BOV) + Pure EV)</w:t>
            </w:r>
          </w:p>
        </w:tc>
      </w:tr>
      <w:tr>
        <w:tc>
          <w:tcPr>
            <w:tcW w:type="dxa" w:w="2160"/>
          </w:tcPr>
          <w:p>
            <w:r>
              <w:t>registrations/registrations-by-vehicle-category.csv</w:t>
            </w:r>
          </w:p>
        </w:tc>
        <w:tc>
          <w:tcPr>
            <w:tcW w:type="dxa" w:w="2160"/>
          </w:tcPr>
          <w:p>
            <w:r>
              <w:t>577,339</w:t>
            </w:r>
          </w:p>
        </w:tc>
        <w:tc>
          <w:tcPr>
            <w:tcW w:type="dxa" w:w="2160"/>
          </w:tcPr>
          <w:p>
            <w:r>
              <w:t>RTO × month × category</w:t>
            </w:r>
          </w:p>
        </w:tc>
        <w:tc>
          <w:tcPr>
            <w:tcW w:type="dxa" w:w="2160"/>
          </w:tcPr>
          <w:p>
            <w:r>
              <w:t>total market and 2W/3W/4W mix</w:t>
            </w:r>
          </w:p>
        </w:tc>
      </w:tr>
      <w:tr>
        <w:tc>
          <w:tcPr>
            <w:tcW w:type="dxa" w:w="2160"/>
          </w:tcPr>
          <w:p>
            <w:r>
              <w:t>registrations/registrations-by-vehicle-class.csv</w:t>
            </w:r>
          </w:p>
        </w:tc>
        <w:tc>
          <w:tcPr>
            <w:tcW w:type="dxa" w:w="2160"/>
          </w:tcPr>
          <w:p>
            <w:r>
              <w:t>870,785</w:t>
            </w:r>
          </w:p>
        </w:tc>
        <w:tc>
          <w:tcPr>
            <w:tcW w:type="dxa" w:w="2160"/>
          </w:tcPr>
          <w:p>
            <w:r>
              <w:t>RTO × month × class</w:t>
            </w:r>
          </w:p>
        </w:tc>
        <w:tc>
          <w:tcPr>
            <w:tcW w:type="dxa" w:w="2160"/>
          </w:tcPr>
          <w:p>
            <w:r>
              <w:t>transport vs non-transport</w:t>
            </w:r>
          </w:p>
        </w:tc>
      </w:tr>
      <w:tr>
        <w:tc>
          <w:tcPr>
            <w:tcW w:type="dxa" w:w="2160"/>
          </w:tcPr>
          <w:p>
            <w:r>
              <w:t>supply/city_chargers.csv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15–30 km charger circle</w:t>
            </w:r>
          </w:p>
        </w:tc>
      </w:tr>
      <w:tr>
        <w:tc>
          <w:tcPr>
            <w:tcW w:type="dxa" w:w="2160"/>
          </w:tcPr>
          <w:p>
            <w:r>
              <w:t>supply/stations_clean.csv</w:t>
            </w:r>
          </w:p>
        </w:tc>
        <w:tc>
          <w:tcPr>
            <w:tcW w:type="dxa" w:w="2160"/>
          </w:tcPr>
          <w:p>
            <w:r>
              <w:t>29,070</w:t>
            </w:r>
          </w:p>
        </w:tc>
        <w:tc>
          <w:tcPr>
            <w:tcW w:type="dxa" w:w="2160"/>
          </w:tcPr>
          <w:p>
            <w:r>
              <w:t>station</w:t>
            </w:r>
          </w:p>
        </w:tc>
        <w:tc>
          <w:tcPr>
            <w:tcW w:type="dxa" w:w="2160"/>
          </w:tcPr>
          <w:p>
            <w:r>
              <w:t>fixed 5/10 km supply</w:t>
            </w:r>
          </w:p>
        </w:tc>
      </w:tr>
      <w:tr>
        <w:tc>
          <w:tcPr>
            <w:tcW w:type="dxa" w:w="2160"/>
          </w:tcPr>
          <w:p>
            <w:r>
              <w:t>supply/state_chargers_from_pdf.csv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labelled fallback</w:t>
            </w:r>
          </w:p>
        </w:tc>
      </w:tr>
      <w:tr>
        <w:tc>
          <w:tcPr>
            <w:tcW w:type="dxa" w:w="2160"/>
          </w:tcPr>
          <w:p>
            <w:r>
              <w:t>demographics/city_population_density.csv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Census 2011 + 2023 estimate</w:t>
            </w:r>
          </w:p>
        </w:tc>
      </w:tr>
      <w:tr>
        <w:tc>
          <w:tcPr>
            <w:tcW w:type="dxa" w:w="2160"/>
          </w:tcPr>
          <w:p>
            <w:r>
              <w:t>prices/city_month_petrol_51.csv</w:t>
            </w:r>
          </w:p>
        </w:tc>
        <w:tc>
          <w:tcPr>
            <w:tcW w:type="dxa" w:w="2160"/>
          </w:tcPr>
          <w:p>
            <w:r>
              <w:t>3,570</w:t>
            </w:r>
          </w:p>
        </w:tc>
        <w:tc>
          <w:tcPr>
            <w:tcW w:type="dxa" w:w="2160"/>
          </w:tcPr>
          <w:p>
            <w:r>
              <w:t>city × month</w:t>
            </w:r>
          </w:p>
        </w:tc>
        <w:tc>
          <w:tcPr>
            <w:tcW w:type="dxa" w:w="2160"/>
          </w:tcPr>
          <w:p>
            <w:r>
              <w:t>petrol price</w:t>
            </w:r>
          </w:p>
        </w:tc>
      </w:tr>
      <w:tr>
        <w:tc>
          <w:tcPr>
            <w:tcW w:type="dxa" w:w="2160"/>
          </w:tcPr>
          <w:p>
            <w:r>
              <w:t>policy/state_ev_policy_scores.csv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provisional policy score</w:t>
            </w:r>
          </w:p>
        </w:tc>
      </w:tr>
      <w:tr>
        <w:tc>
          <w:tcPr>
            <w:tcW w:type="dxa" w:w="2160"/>
          </w:tcPr>
          <w:p>
            <w:r>
              <w:t>geo/india_state.geojson</w:t>
            </w:r>
          </w:p>
        </w:tc>
        <w:tc>
          <w:tcPr>
            <w:tcW w:type="dxa" w:w="2160"/>
          </w:tcPr>
          <w:p>
            <w:r>
              <w:t>35 polygons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choropleth</w:t>
            </w:r>
          </w:p>
        </w:tc>
      </w:tr>
    </w:tbl>
    <w:p/>
    <w:p>
      <w:r>
        <w:t>The three registration files all have a column called registration_type, but</w:t>
      </w:r>
    </w:p>
    <w:p>
      <w:r>
        <w:t>it means different things: fuel in the fuel export, vehicle category in</w:t>
      </w:r>
    </w:p>
    <w:p>
      <w:r>
        <w:t>the category export, and vehicle class in the class export. Misreading that</w:t>
      </w:r>
    </w:p>
    <w:p>
      <w:r>
        <w:t>is the easiest way to get a wrong answer from this data.</w:t>
      </w:r>
    </w:p>
    <w:p>
      <w:pPr>
        <w:pStyle w:val="Heading3"/>
      </w:pPr>
      <w:r>
        <w:t>3.2 The 2021/2022 source seam</w:t>
      </w:r>
    </w:p>
    <w:p>
      <w:r>
        <w:t>The Vahan export starts in February 2022. January–December 2021 is recovered</w:t>
      </w:r>
    </w:p>
    <w:p>
      <w:r>
        <w:t>from cached dashboard responses and labelled panel_source = dashboard_cache;</w:t>
      </w:r>
    </w:p>
    <w:p>
      <w:r>
        <w:t>2022 onward is vahan_export. This is a source boundary, not a continuous</w:t>
      </w:r>
    </w:p>
    <w:p>
      <w:r>
        <w:t>series. Nine cities were added to the universe after 2021 and have no cached</w:t>
      </w:r>
    </w:p>
    <w:p>
      <w:r>
        <w:t>responses; their 12 leading months are left empty rather than back-filled.</w:t>
      </w:r>
    </w:p>
    <w:p>
      <w:r>
        <w:t>The seam is visible. Comparing December 2021 with January 2022 for the 42</w:t>
      </w:r>
    </w:p>
    <w:p>
      <w:r>
        <w:t>cities with both months, the median ratio is 1.00, but **eight cities move by</w:t>
      </w:r>
    </w:p>
    <w:p>
      <w:r>
        <w:t>more than 1.5×**: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Dec 2021</w:t>
            </w:r>
          </w:p>
        </w:tc>
        <w:tc>
          <w:tcPr>
            <w:tcW w:type="dxa" w:w="1728"/>
          </w:tcPr>
          <w:p>
            <w:r>
              <w:t>Jan 2022</w:t>
            </w:r>
          </w:p>
        </w:tc>
        <w:tc>
          <w:tcPr>
            <w:tcW w:type="dxa" w:w="1728"/>
          </w:tcPr>
          <w:p>
            <w:r>
              <w:t>Month ratio</w:t>
            </w:r>
          </w:p>
        </w:tc>
        <w:tc>
          <w:tcPr>
            <w:tcW w:type="dxa" w:w="1728"/>
          </w:tcPr>
          <w:p>
            <w:r>
              <w:t>2021→2022 level ratio</w:t>
            </w:r>
          </w:p>
        </w:tc>
      </w:tr>
      <w:tr>
        <w:tc>
          <w:tcPr>
            <w:tcW w:type="dxa" w:w="1728"/>
          </w:tcPr>
          <w:p>
            <w:r>
              <w:t>Guwahati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6.21</w:t>
            </w:r>
          </w:p>
        </w:tc>
        <w:tc>
          <w:tcPr>
            <w:tcW w:type="dxa" w:w="1728"/>
          </w:tcPr>
          <w:p>
            <w:r>
              <w:t>20.20</w:t>
            </w:r>
          </w:p>
        </w:tc>
      </w:tr>
      <w:tr>
        <w:tc>
          <w:tcPr>
            <w:tcW w:type="dxa" w:w="1728"/>
          </w:tcPr>
          <w:p>
            <w:r>
              <w:t>Jabalpur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2.21</w:t>
            </w:r>
          </w:p>
        </w:tc>
        <w:tc>
          <w:tcPr>
            <w:tcW w:type="dxa" w:w="1728"/>
          </w:tcPr>
          <w:p>
            <w:r>
              <w:t>7.71</w:t>
            </w:r>
          </w:p>
        </w:tc>
      </w:tr>
      <w:tr>
        <w:tc>
          <w:tcPr>
            <w:tcW w:type="dxa" w:w="1728"/>
          </w:tcPr>
          <w:p>
            <w:r>
              <w:t>Vijayawada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1.78</w:t>
            </w:r>
          </w:p>
        </w:tc>
        <w:tc>
          <w:tcPr>
            <w:tcW w:type="dxa" w:w="1728"/>
          </w:tcPr>
          <w:p>
            <w:r>
              <w:t>2.13</w:t>
            </w:r>
          </w:p>
        </w:tc>
      </w:tr>
      <w:tr>
        <w:tc>
          <w:tcPr>
            <w:tcW w:type="dxa" w:w="1728"/>
          </w:tcPr>
          <w:p>
            <w:r>
              <w:t>Kozhikode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1.73</w:t>
            </w:r>
          </w:p>
        </w:tc>
        <w:tc>
          <w:tcPr>
            <w:tcW w:type="dxa" w:w="1728"/>
          </w:tcPr>
          <w:p>
            <w:r>
              <w:t>4.09</w:t>
            </w:r>
          </w:p>
        </w:tc>
      </w:tr>
      <w:tr>
        <w:tc>
          <w:tcPr>
            <w:tcW w:type="dxa" w:w="1728"/>
          </w:tcPr>
          <w:p>
            <w:r>
              <w:t>Thiruvananthapuram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6.76</w:t>
            </w:r>
          </w:p>
        </w:tc>
      </w:tr>
      <w:tr>
        <w:tc>
          <w:tcPr>
            <w:tcW w:type="dxa" w:w="1728"/>
          </w:tcPr>
          <w:p>
            <w:r>
              <w:t>Coimbatore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1.56</w:t>
            </w:r>
          </w:p>
        </w:tc>
        <w:tc>
          <w:tcPr>
            <w:tcW w:type="dxa" w:w="1728"/>
          </w:tcPr>
          <w:p>
            <w:r>
              <w:t>3.55</w:t>
            </w:r>
          </w:p>
        </w:tc>
      </w:tr>
      <w:tr>
        <w:tc>
          <w:tcPr>
            <w:tcW w:type="dxa" w:w="1728"/>
          </w:tcPr>
          <w:p>
            <w:r>
              <w:t>Tiruchirappalli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2.75</w:t>
            </w:r>
          </w:p>
        </w:tc>
      </w:tr>
      <w:tr>
        <w:tc>
          <w:tcPr>
            <w:tcW w:type="dxa" w:w="1728"/>
          </w:tcPr>
          <w:p>
            <w:r>
              <w:t>Rajkot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4.27</w:t>
            </w:r>
          </w:p>
        </w:tc>
      </w:tr>
    </w:tbl>
    <w:p/>
    <w:p>
      <w:r>
        <w:t>Guwahati's 6.2× step and 20× level change indicate a thin 2021 cache, not a</w:t>
      </w:r>
    </w:p>
    <w:p>
      <w:r>
        <w:t>genuine one-month surge. The 2022-only M3 sensitivity is reported in Section 8.5.</w:t>
      </w:r>
    </w:p>
    <w:p>
      <w:pPr>
        <w:pStyle w:val="Heading3"/>
      </w:pPr>
      <w:r>
        <w:t>3.3 Coverage and the 68/51 distinction</w:t>
      </w:r>
    </w:p>
    <w:p>
      <w:r>
        <w:t>config/cities.yaml defines 68 cities and every one has registrations.</w:t>
      </w:r>
    </w:p>
    <w:p>
      <w:r>
        <w:t>Chargers, census, and petrol cover only 51. The build analyses 51 by default</w:t>
      </w:r>
    </w:p>
    <w:p>
      <w:r>
        <w:t>and records the other 17 in manifest.json under</w:t>
      </w:r>
    </w:p>
    <w:p>
      <w:r>
        <w:t>cities_without_covariates. The nine cities without 2021 data are recorded</w:t>
      </w:r>
    </w:p>
    <w:p>
      <w:r>
        <w:t>separately under cities_without_2021. The distinction matters because the</w:t>
      </w:r>
    </w:p>
    <w:p>
      <w:r>
        <w:t>109 dropped model rows are not the 17 excluded cities; they are 108 leading</w:t>
      </w:r>
    </w:p>
    <w:p>
      <w:r>
        <w:t>2021 months plus one long gap.</w:t>
      </w:r>
    </w:p>
    <w:p>
      <w:pPr>
        <w:pStyle w:val="Heading3"/>
      </w:pPr>
      <w:r>
        <w:t>3.4 Definitions and vintage</w:t>
      </w:r>
    </w:p>
    <w:p>
      <w:pPr>
        <w:pStyle w:val="ListBullet"/>
      </w:pPr>
      <w:r>
        <w:t>EV: Electric(BOV) plus Pure EV. Vahan migrated labels during 2024;</w:t>
      </w:r>
    </w:p>
    <w:p>
      <w:r>
        <w:t>using one alone makes the series collapse mid-year.</w:t>
      </w:r>
    </w:p>
    <w:p>
      <w:pPr>
        <w:pStyle w:val="ListBullet"/>
      </w:pPr>
      <w:r>
        <w:t>Chargers: stations_clean.csv contains 29,070 station records, not a</w:t>
      </w:r>
    </w:p>
    <w:p>
      <w:r>
        <w:t>headcount of unique public stations nationwide. Report the definition with the</w:t>
      </w:r>
    </w:p>
    <w:p>
      <w:r>
        <w:t>number.</w:t>
      </w:r>
    </w:p>
    <w:p>
      <w:pPr>
        <w:pStyle w:val="ListBullet"/>
      </w:pPr>
      <w:r>
        <w:t>Supply comparability: the city circle radius varies 15–30 km. The fixed</w:t>
      </w:r>
    </w:p>
    <w:p>
      <w:r>
        <w:t>10 km count is the comparable measure; the circle count is retained only as a</w:t>
      </w:r>
    </w:p>
    <w:p>
      <w:r>
        <w:t>legacy feature.</w:t>
      </w:r>
    </w:p>
    <w:p>
      <w:pPr>
        <w:pStyle w:val="ListBullet"/>
      </w:pPr>
      <w:r>
        <w:t>Petrol: only a few metros are observed; most city prices are modelled from</w:t>
      </w:r>
    </w:p>
    <w:p>
      <w:r>
        <w:t>state snapshots. The price_basis column says which.</w:t>
      </w:r>
    </w:p>
    <w:p>
      <w:pPr>
        <w:pStyle w:val="ListBullet"/>
      </w:pPr>
      <w:r>
        <w:t>Policy: 30 states, all provisional, rubric columns blank.</w:t>
      </w:r>
    </w:p>
    <w:p>
      <w:pPr>
        <w:pStyle w:val="ListBullet"/>
      </w:pPr>
      <w:r>
        <w:t>Demographics: all 51 populations are verified against Census 2011 city/MC</w:t>
      </w:r>
    </w:p>
    <w:p>
      <w:r>
        <w:t>figures with a cited area. 44 use urban-agglomeration boundaries; seven</w:t>
      </w:r>
    </w:p>
    <w:p>
      <w:r>
        <w:t>(Chandigarh, Guwahati, Mysuru, Bhubaneswar, Dehradun, Gurugram, Noida) use</w:t>
      </w:r>
    </w:p>
    <w:p>
      <w:r>
        <w:t>municipal/census-town boundaries.</w:t>
      </w:r>
    </w:p>
    <w:p>
      <w:r>
        <w:t>Every fetch is recorded in provenance/ledger.json with URL, timestamp, row</w:t>
      </w:r>
    </w:p>
    <w:p>
      <w:r>
        <w:t>count, and checksum.</w:t>
      </w:r>
    </w:p>
    <w:p>
      <w:r>
        <w:drawing>
          <wp:inline xmlns:a="http://schemas.openxmlformats.org/drawingml/2006/main" xmlns:pic="http://schemas.openxmlformats.org/drawingml/2006/picture">
            <wp:extent cx="5669280" cy="1899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112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4. Cleaning and feature engineering</w:t>
      </w:r>
    </w:p>
    <w:p>
      <w:pPr>
        <w:pStyle w:val="Heading3"/>
      </w:pPr>
      <w:r>
        <w:t>4.1 Panel construction</w:t>
      </w:r>
    </w:p>
    <w:p>
      <w:r>
        <w:t>The pipeline maps 129 printed RTO codes to 51 cities, sums EV registrations to</w:t>
      </w:r>
    </w:p>
    <w:p>
      <w:r>
        <w:t>city × month, and reindexes onto a complete city × month grid. Gaps become</w:t>
      </w:r>
    </w:p>
    <w:p>
      <w:r>
        <w:t>explicit NaN rows with observed = false rather than disappearing.</w:t>
      </w:r>
    </w:p>
    <w:p>
      <w:pPr>
        <w:pStyle w:val="Heading3"/>
      </w:pPr>
      <w:r>
        <w:t>4.2 Missing values</w:t>
      </w:r>
    </w:p>
    <w:p>
      <w:r>
        <w:t>Gaps of at most two months are linearly interpolated and marked imputed.</w:t>
      </w:r>
    </w:p>
    <w:p>
      <w:r>
        <w:t>Longer gaps stay empty. No imputation survives into the 51-city analysis after</w:t>
      </w:r>
    </w:p>
    <w:p>
      <w:r>
        <w:t>filtering, which is why imputed_months = 0 in the final manifest. Missing</w:t>
      </w:r>
    </w:p>
    <w:p>
      <w:r>
        <w:t>covariates are never filled with synthetic values; they are carried as NaN</w:t>
      </w:r>
    </w:p>
    <w:p>
      <w:r>
        <w:t>and flagged.</w:t>
      </w:r>
    </w:p>
    <w:p>
      <w:pPr>
        <w:pStyle w:val="Heading3"/>
      </w:pPr>
      <w:r>
        <w:t>4.3 Outliers</w:t>
      </w:r>
    </w:p>
    <w:p>
      <w:r>
        <w:t>Outliers are detected per city with an IQR fence. When the IQR is degenerate</w:t>
      </w:r>
    </w:p>
    <w:p>
      <w:r>
        <w:t>(common in small, flat series), the fence falls back to 0.25×–4× the median.</w:t>
      </w:r>
    </w:p>
    <w:p>
      <w:r>
        <w:t>Outliers are flagged and winsorised in a separate column; the raw value is</w:t>
      </w:r>
    </w:p>
    <w:p>
      <w:r>
        <w:t>preserved. 72 city-months are flagged and none are deleted.</w:t>
      </w:r>
    </w:p>
    <w:p>
      <w:pPr>
        <w:pStyle w:val="Heading3"/>
      </w:pPr>
      <w:r>
        <w:t>4.4 Derived features</w:t>
      </w:r>
    </w:p>
    <w:p>
      <w:r>
        <w:t>The panel carries cumulative stock, month-on-month and year-on-year growth, a</w:t>
      </w:r>
    </w:p>
    <w:p>
      <w:r>
        <w:t>three-month rolling mean, and stock-delta regressions. Market context adds total</w:t>
      </w:r>
    </w:p>
    <w:p>
      <w:r>
        <w:t>registrations, transport/non-transport split, EV share of new sales, and</w:t>
      </w:r>
    </w:p>
    <w:p>
      <w:r>
        <w:t>2W/3W/4W market shares.</w:t>
      </w:r>
    </w:p>
    <w:p>
      <w:r>
        <w:t>Supply features come in two forms: the legacy 15–30 km circle and fixed 5/10 km</w:t>
      </w:r>
    </w:p>
    <w:p>
      <w:r>
        <w:t>counts of stations, connectors, fast chargers, CPOs, and 90th-percentile power.</w:t>
      </w:r>
    </w:p>
    <w:p>
      <w:r>
        <w:t>Demand ratios use the weighted stock divided by each denominator.</w:t>
      </w:r>
    </w:p>
    <w:p>
      <w:pPr>
        <w:pStyle w:val="Heading3"/>
      </w:pPr>
      <w:r>
        <w:t>4.5 Coverage flags</w:t>
      </w:r>
    </w:p>
    <w:p>
      <w:r>
        <w:t>has_chargers, has_census, has_petrol, and has_policy make a missing</w:t>
      </w:r>
    </w:p>
    <w:p>
      <w:r>
        <w:t>input visible. demographic_verified and policy_verified record whether the</w:t>
      </w:r>
    </w:p>
    <w:p>
      <w:r>
        <w:t>underlying source was checked. These flags prevent an absent or unverified input</w:t>
      </w:r>
    </w:p>
    <w:p>
      <w:r>
        <w:t>from being read as observed.</w:t>
      </w:r>
    </w:p>
    <w:p>
      <w:pPr>
        <w:pStyle w:val="Heading3"/>
      </w:pPr>
      <w:r>
        <w:t>4.6 Master panel</w:t>
      </w:r>
    </w:p>
    <w:p>
      <w:r>
        <w:t>master_ev_panel.csv is the analysis-ready merge: 3,519 × 115. It joins the</w:t>
      </w:r>
    </w:p>
    <w:p>
      <w:r>
        <w:t>monthly panel to every city covariate, monthly petrol, and both demand ratios.</w:t>
      </w:r>
    </w:p>
    <w:p>
      <w:r>
        <w:t>It is the single table used for descriptive work; the model scripts keep their</w:t>
      </w:r>
    </w:p>
    <w:p>
      <w:r>
        <w:t>own narrower inputs.</w:t>
      </w:r>
    </w:p>
    <w:p>
      <w:r>
        <w:t>---</w:t>
      </w:r>
    </w:p>
    <w:p>
      <w:pPr>
        <w:pStyle w:val="Heading2"/>
      </w:pPr>
      <w:r>
        <w:t>5. Objective 1 — effective public demand</w:t>
      </w:r>
    </w:p>
    <w:p>
      <w:r>
        <w:t>The metric is:</w:t>
      </w:r>
    </w:p>
    <w:p>
      <w:r>
        <w:t>`</w:t>
      </w:r>
    </w:p>
    <w:p>
      <w:r>
        <w:t>effective_public_demand = weighted_ev_stock / public_chargers</w:t>
      </w:r>
    </w:p>
    <w:p>
      <w:r>
        <w:t>weighted_ev_stock = 0.15·2W + 0.70·3W + 1.00·4W + 0.60·COMM</w:t>
      </w:r>
    </w:p>
    <w:p>
      <w:r>
        <w:t>`</w:t>
      </w:r>
    </w:p>
    <w:p>
      <w:r>
        <w:t>The weights reflect reliance on public charging: two-wheelers mostly charge at</w:t>
      </w:r>
    </w:p>
    <w:p>
      <w:r>
        <w:t>home, three-wheelers and four-wheelers rely on public points, and commercial</w:t>
      </w:r>
    </w:p>
    <w:p>
      <w:r>
        <w:t>fleets sit in between. The comparable denominator is stations_10km; the</w:t>
      </w:r>
    </w:p>
    <w:p>
      <w:r>
        <w:t>variable-radius circle is kept as effective_public_demand for continuity.</w:t>
      </w:r>
    </w:p>
    <w:p>
      <w:r>
        <w:t>The split is measured for 42 cities, proxied from the state mix for 6, and from</w:t>
      </w:r>
    </w:p>
    <w:p>
      <w:r>
        <w:t>the national mix for 3. A proxy is an estimate, not an observation, and</w:t>
      </w:r>
    </w:p>
    <w:p>
      <w:r>
        <w:t>split_method travels with every row.</w:t>
      </w:r>
    </w:p>
    <w:p>
      <w:r>
        <w:t>Highest effective demand per charger (fixed 10 km):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EV stock</w:t>
            </w:r>
          </w:p>
        </w:tc>
        <w:tc>
          <w:tcPr>
            <w:tcW w:type="dxa" w:w="2160"/>
          </w:tcPr>
          <w:p>
            <w:r>
              <w:t>Stations within radius</w:t>
            </w:r>
          </w:p>
        </w:tc>
        <w:tc>
          <w:tcPr>
            <w:tcW w:type="dxa" w:w="2160"/>
          </w:tcPr>
          <w:p>
            <w:r>
              <w:t>Effective demand</w:t>
            </w:r>
          </w:p>
        </w:tc>
      </w:tr>
      <w:tr>
        <w:tc>
          <w:tcPr>
            <w:tcW w:type="dxa" w:w="2160"/>
          </w:tcPr>
          <w:p>
            <w:r>
              <w:t>Patna</w:t>
            </w:r>
          </w:p>
        </w:tc>
        <w:tc>
          <w:tcPr>
            <w:tcW w:type="dxa" w:w="2160"/>
          </w:tcPr>
          <w:p>
            <w:r>
              <w:t>76,429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390.3</w:t>
            </w:r>
          </w:p>
        </w:tc>
      </w:tr>
      <w:tr>
        <w:tc>
          <w:tcPr>
            <w:tcW w:type="dxa" w:w="2160"/>
          </w:tcPr>
          <w:p>
            <w:r>
              <w:t>Lucknow</w:t>
            </w:r>
          </w:p>
        </w:tc>
        <w:tc>
          <w:tcPr>
            <w:tcW w:type="dxa" w:w="2160"/>
          </w:tcPr>
          <w:p>
            <w:r>
              <w:t>137,931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304.4</w:t>
            </w:r>
          </w:p>
        </w:tc>
      </w:tr>
      <w:tr>
        <w:tc>
          <w:tcPr>
            <w:tcW w:type="dxa" w:w="2160"/>
          </w:tcPr>
          <w:p>
            <w:r>
              <w:t>Meerut</w:t>
            </w:r>
          </w:p>
        </w:tc>
        <w:tc>
          <w:tcPr>
            <w:tcW w:type="dxa" w:w="2160"/>
          </w:tcPr>
          <w:p>
            <w:r>
              <w:t>45,116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287.3</w:t>
            </w:r>
          </w:p>
        </w:tc>
      </w:tr>
      <w:tr>
        <w:tc>
          <w:tcPr>
            <w:tcW w:type="dxa" w:w="2160"/>
          </w:tcPr>
          <w:p>
            <w:r>
              <w:t>Kanpur</w:t>
            </w:r>
          </w:p>
        </w:tc>
        <w:tc>
          <w:tcPr>
            <w:tcW w:type="dxa" w:w="2160"/>
          </w:tcPr>
          <w:p>
            <w:r>
              <w:t>81,074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230.2</w:t>
            </w:r>
          </w:p>
        </w:tc>
      </w:tr>
      <w:tr>
        <w:tc>
          <w:tcPr>
            <w:tcW w:type="dxa" w:w="2160"/>
          </w:tcPr>
          <w:p>
            <w:r>
              <w:t>Jabalpur</w:t>
            </w:r>
          </w:p>
        </w:tc>
        <w:tc>
          <w:tcPr>
            <w:tcW w:type="dxa" w:w="2160"/>
          </w:tcPr>
          <w:p>
            <w:r>
              <w:t>47,220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201.1</w:t>
            </w:r>
          </w:p>
        </w:tc>
      </w:tr>
      <w:tr>
        <w:tc>
          <w:tcPr>
            <w:tcW w:type="dxa" w:w="2160"/>
          </w:tcPr>
          <w:p>
            <w:r>
              <w:t>Bhubaneswar</w:t>
            </w:r>
          </w:p>
        </w:tc>
        <w:tc>
          <w:tcPr>
            <w:tcW w:type="dxa" w:w="2160"/>
          </w:tcPr>
          <w:p>
            <w:r>
              <w:t>87,173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175.5</w:t>
            </w:r>
          </w:p>
        </w:tc>
      </w:tr>
      <w:tr>
        <w:tc>
          <w:tcPr>
            <w:tcW w:type="dxa" w:w="2160"/>
          </w:tcPr>
          <w:p>
            <w:r>
              <w:t>Indore</w:t>
            </w:r>
          </w:p>
        </w:tc>
        <w:tc>
          <w:tcPr>
            <w:tcW w:type="dxa" w:w="2160"/>
          </w:tcPr>
          <w:p>
            <w:r>
              <w:t>97,271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151.2</w:t>
            </w:r>
          </w:p>
        </w:tc>
      </w:tr>
      <w:tr>
        <w:tc>
          <w:tcPr>
            <w:tcW w:type="dxa" w:w="2160"/>
          </w:tcPr>
          <w:p>
            <w:r>
              <w:t>Guwahati</w:t>
            </w:r>
          </w:p>
        </w:tc>
        <w:tc>
          <w:tcPr>
            <w:tcW w:type="dxa" w:w="2160"/>
          </w:tcPr>
          <w:p>
            <w:r>
              <w:t>33,706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146.2</w:t>
            </w:r>
          </w:p>
        </w:tc>
      </w:tr>
      <w:tr>
        <w:tc>
          <w:tcPr>
            <w:tcW w:type="dxa" w:w="2160"/>
          </w:tcPr>
          <w:p>
            <w:r>
              <w:t>Mysuru</w:t>
            </w:r>
          </w:p>
        </w:tc>
        <w:tc>
          <w:tcPr>
            <w:tcW w:type="dxa" w:w="2160"/>
          </w:tcPr>
          <w:p>
            <w:r>
              <w:t>49,356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130.3</w:t>
            </w:r>
          </w:p>
        </w:tc>
      </w:tr>
      <w:tr>
        <w:tc>
          <w:tcPr>
            <w:tcW w:type="dxa" w:w="2160"/>
          </w:tcPr>
          <w:p>
            <w:r>
              <w:t>Raipur</w:t>
            </w:r>
          </w:p>
        </w:tc>
        <w:tc>
          <w:tcPr>
            <w:tcW w:type="dxa" w:w="2160"/>
          </w:tcPr>
          <w:p>
            <w:r>
              <w:t>75,344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123.0</w:t>
            </w:r>
          </w:p>
        </w:tc>
      </w:tr>
    </w:tbl>
    <w:p/>
    <w:p>
      <w:r>
        <w:t>These are supply-constrained cities: the numerator is meaningful only because</w:t>
      </w:r>
    </w:p>
    <w:p>
      <w:r>
        <w:t>the denominator is small. That is precisely the siting signal, but it also</w:t>
      </w:r>
    </w:p>
    <w:p>
      <w:r>
        <w:t>means the metric is sensitive to charger-count errors. The snapshot nature of</w:t>
      </w:r>
    </w:p>
    <w:p>
      <w:r>
        <w:t>the charger data is the main limitation.</w:t>
      </w:r>
    </w:p>
    <w:p>
      <w:r>
        <w:drawing>
          <wp:inline xmlns:a="http://schemas.openxmlformats.org/drawingml/2006/main" xmlns:pic="http://schemas.openxmlformats.org/drawingml/2006/picture">
            <wp:extent cx="5669280" cy="3640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_vs_su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6. Objective 2 — adoption drivers (M1)</w:t>
      </w:r>
    </w:p>
    <w:p>
      <w:pPr>
        <w:pStyle w:val="Heading3"/>
      </w:pPr>
      <w:r>
        <w:t>6.1 Two specifications</w:t>
      </w:r>
    </w:p>
    <w:p>
      <w:r>
        <w:t>M1a aggregates to one row per city (n=51) and regresses mean monthly EV</w:t>
      </w:r>
    </w:p>
    <w:p>
      <w:r>
        <w:t>registrations on city characteristics. This is the only specification in which</w:t>
      </w:r>
    </w:p>
    <w:p>
      <w:r>
        <w:t>city-constant predictors are identifiable. M1b is a panel model with city fixed</w:t>
      </w:r>
    </w:p>
    <w:p>
      <w:r>
        <w:t>effects and month dummies; it supplies the expected level used by the CDS. A</w:t>
      </w:r>
    </w:p>
    <w:p>
      <w:r>
        <w:t>pooled model without fixed effects over-predicted Kolkata by 18× because it</w:t>
      </w:r>
    </w:p>
    <w:p>
      <w:r>
        <w:t>cannot separate Delhi from a much smaller market.</w:t>
      </w:r>
    </w:p>
    <w:p>
      <w:pPr>
        <w:pStyle w:val="Heading3"/>
      </w:pPr>
      <w:r>
        <w:t>6.2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Non-EV market size (log)</w:t>
            </w:r>
          </w:p>
        </w:tc>
        <w:tc>
          <w:tcPr>
            <w:tcW w:type="dxa" w:w="2880"/>
          </w:tcPr>
          <w:p>
            <w:r>
              <w:t>2.72</w:t>
            </w:r>
          </w:p>
        </w:tc>
        <w:tc>
          <w:tcPr>
            <w:tcW w:type="dxa" w:w="2880"/>
          </w:tcPr>
          <w:p>
            <w:r>
              <w:t>&lt; 0.001</w:t>
            </w:r>
          </w:p>
        </w:tc>
      </w:tr>
      <w:tr>
        <w:tc>
          <w:tcPr>
            <w:tcW w:type="dxa" w:w="2880"/>
          </w:tcPr>
          <w:p>
            <w:r>
              <w:t>Per-capita income (log)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  <w:tc>
          <w:tcPr>
            <w:tcW w:type="dxa" w:w="2880"/>
          </w:tcPr>
          <w:p>
            <w:r>
              <w:t>&lt; 0.001</w:t>
            </w:r>
          </w:p>
        </w:tc>
      </w:tr>
      <w:tr>
        <w:tc>
          <w:tcPr>
            <w:tcW w:type="dxa" w:w="2880"/>
          </w:tcPr>
          <w:p>
            <w:r>
              <w:t>Policy score (provisional)</w:t>
            </w:r>
          </w:p>
        </w:tc>
        <w:tc>
          <w:tcPr>
            <w:tcW w:type="dxa" w:w="2880"/>
          </w:tcPr>
          <w:p>
            <w:r>
              <w:t>1.35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Population density (log)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0.054</w:t>
            </w:r>
          </w:p>
        </w:tc>
      </w:tr>
      <w:tr>
        <w:tc>
          <w:tcPr>
            <w:tcW w:type="dxa" w:w="2880"/>
          </w:tcPr>
          <w:p>
            <w:r>
              <w:t>Population (log)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t>0.31</w:t>
            </w:r>
          </w:p>
        </w:tc>
      </w:tr>
      <w:tr>
        <w:tc>
          <w:tcPr>
            <w:tcW w:type="dxa" w:w="2880"/>
          </w:tcPr>
          <w:p>
            <w:r>
              <w:t>Fuel price</w:t>
            </w:r>
          </w:p>
        </w:tc>
        <w:tc>
          <w:tcPr>
            <w:tcW w:type="dxa" w:w="2880"/>
          </w:tcPr>
          <w:p>
            <w:r>
              <w:t>1.01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  <w:tr>
        <w:tc>
          <w:tcPr>
            <w:tcW w:type="dxa" w:w="2880"/>
          </w:tcPr>
          <w:p>
            <w:r>
              <w:t>Summer temperature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0.24</w:t>
            </w:r>
          </w:p>
        </w:tc>
      </w:tr>
      <w:tr>
        <w:tc>
          <w:tcPr>
            <w:tcW w:type="dxa" w:w="2880"/>
          </w:tcPr>
          <w:p>
            <w:r>
              <w:t>Highway corridor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</w:tr>
    </w:tbl>
    <w:p/>
    <w:p>
      <w:pPr>
        <w:pStyle w:val="Heading3"/>
      </w:pPr>
      <w:r>
        <w:t>6.3 Interpretation</w:t>
      </w:r>
    </w:p>
    <w:p>
      <w:r>
        <w:t>Market size is the strongest correlate: a 1% larger non-EV market is associated</w:t>
      </w:r>
    </w:p>
    <w:p>
      <w:r>
        <w:t>with a 2.7% higher EV registration rate. The negative income coefficient is</w:t>
      </w:r>
    </w:p>
    <w:p>
      <w:r>
        <w:t>counterintuitive if read as "richer cities buy fewer EVs"; it more likely picks</w:t>
      </w:r>
    </w:p>
    <w:p>
      <w:r>
        <w:t>up the age structure of the vehicle fleet, the availability of shared mobility,</w:t>
      </w:r>
    </w:p>
    <w:p>
      <w:r>
        <w:t>and the fact that several high-income metros were early adopters with a</w:t>
      </w:r>
    </w:p>
    <w:p>
      <w:r>
        <w:t>different mix. It should not be read causally.</w:t>
      </w:r>
    </w:p>
    <w:p>
      <w:r>
        <w:t>The policy coefficient is positive but rests on provisional scores. The fuel</w:t>
      </w:r>
    </w:p>
    <w:p>
      <w:r>
        <w:t>coefficient is effectively a time trend: most city prices are the Delhi series</w:t>
      </w:r>
    </w:p>
    <w:p>
      <w:r>
        <w:t>multiplied by a constant, so the variable has little independent variation.</w:t>
      </w:r>
    </w:p>
    <w:p>
      <w:pPr>
        <w:pStyle w:val="Heading3"/>
      </w:pPr>
      <w:r>
        <w:t>6.4 Sensitivity</w:t>
      </w:r>
    </w:p>
    <w:p>
      <w:pPr>
        <w:pStyle w:val="ListBullet"/>
      </w:pPr>
      <w:r>
        <w:t>Without fuel: market IRR 2.64 (p &lt; 0.001), income 0.61 (p &lt; 0.001), policy</w:t>
      </w:r>
    </w:p>
    <w:p>
      <w:r>
        <w:t>1.28 (p = 0.056). The headline findings do not depend on the fuel term.</w:t>
      </w:r>
    </w:p>
    <w:p>
      <w:pPr>
        <w:pStyle w:val="ListBullet"/>
      </w:pPr>
      <w:r>
        <w:t>Without policy: market IRR 2.54 (p &lt; 0.001), income 0.64 (p &lt; 0.001),</w:t>
      </w:r>
    </w:p>
    <w:p>
      <w:r>
        <w:t>density 0.81 (p = 0.23). The policy term is not carrying the model.</w:t>
      </w:r>
    </w:p>
    <w:p>
      <w:pPr>
        <w:pStyle w:val="ListBullet"/>
      </w:pPr>
      <w:r>
        <w:t>Verified demographics only (n=44): market IRR 3.03 (p &lt; 0.001), income</w:t>
      </w:r>
    </w:p>
    <w:p>
      <w:r>
        <w:t>0.59 (p &lt; 0.001), density 0.70 (p = 0.005), policy 1.21 (p = 0.066). The</w:t>
      </w:r>
    </w:p>
    <w:p>
      <w:r>
        <w:t>density coefficient strengthens and becomes significant when the seven</w:t>
      </w:r>
    </w:p>
    <w:p>
      <w:r>
        <w:t>municipal-boundary rows are removed.</w:t>
      </w:r>
    </w:p>
    <w:p>
      <w:pPr>
        <w:pStyle w:val="Heading3"/>
      </w:pPr>
      <w:r>
        <w:t>6.5 Limitations</w:t>
      </w:r>
    </w:p>
    <w:p>
      <w:r>
        <w:t>n=51 limits the number of predictors; the model is a description, not a causal</w:t>
      </w:r>
    </w:p>
    <w:p>
      <w:r>
        <w:t>design. City-constant predictors cannot be estimated in the fixed-effects panel,</w:t>
      </w:r>
    </w:p>
    <w:p>
      <w:r>
        <w:t>which is why M1a and M1b answer different questions.</w:t>
      </w:r>
    </w:p>
    <w:p>
      <w:r>
        <w:t>---</w:t>
      </w:r>
    </w:p>
    <w:p>
      <w:pPr>
        <w:pStyle w:val="Heading2"/>
      </w:pPr>
      <w:r>
        <w:t>7. Objective 3 — High/Low demand classifier (M2)</w:t>
      </w:r>
    </w:p>
    <w:p>
      <w:pPr>
        <w:pStyle w:val="Heading3"/>
      </w:pPr>
      <w:r>
        <w:t>7.1 Label</w:t>
      </w:r>
    </w:p>
    <w:p>
      <w:r>
        <w:t>A city is High demand if its effective_public_demand_10km is above the sample</w:t>
      </w:r>
    </w:p>
    <w:p>
      <w:r>
        <w:t>median. The label is derived from EV stock and charger counts, so those</w:t>
      </w:r>
    </w:p>
    <w:p>
      <w:r>
        <w:t>variables cannot be predictors.</w:t>
      </w:r>
    </w:p>
    <w:p>
      <w:pPr>
        <w:pStyle w:val="Heading3"/>
      </w:pPr>
      <w:r>
        <w:t>7.2 Predictors and leakage</w:t>
      </w:r>
    </w:p>
    <w:p>
      <w:r>
        <w:t>Predictors are exogenous: log density, log income, fuel price, policy score,</w:t>
      </w:r>
    </w:p>
    <w:p>
      <w:r>
        <w:t>highway corridor, and summer temperature. EV stock, charger counts, and growth</w:t>
      </w:r>
    </w:p>
    <w:p>
      <w:r>
        <w:t>are excluded. A regression test asserts that none of the forbidden variables</w:t>
      </w:r>
    </w:p>
    <w:p>
      <w:r>
        <w:t>enters EXOGENOUS.</w:t>
      </w:r>
    </w:p>
    <w:p>
      <w:pPr>
        <w:pStyle w:val="Heading3"/>
      </w:pPr>
      <w:r>
        <w:t>7.3 Validation</w:t>
      </w:r>
    </w:p>
    <w:p>
      <w:r>
        <w:t>With 51 rows a single 70/30 split leaves about 15 test rows, where AUC has a</w:t>
      </w:r>
    </w:p>
    <w:p>
      <w:r>
        <w:t>confidence interval of roughly ±0.25. The model therefore uses repeated</w:t>
      </w:r>
    </w:p>
    <w:p>
      <w:r>
        <w:t>stratified 5-fold cross-validation (20 repeats) and reports the spread, plus</w:t>
      </w:r>
    </w:p>
    <w:p>
      <w:r>
        <w:t>leave-one-out accuracy as a second view. The in-sample AUC is reported only to</w:t>
      </w:r>
    </w:p>
    <w:p>
      <w:r>
        <w:t>expose the optimism gap.</w:t>
      </w:r>
    </w:p>
    <w:p>
      <w:pPr>
        <w:pStyle w:val="Heading3"/>
      </w:pPr>
      <w:r>
        <w:t>7.4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AUC mean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p05–p95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LOOCV</w:t>
            </w:r>
          </w:p>
        </w:tc>
        <w:tc>
          <w:tcPr>
            <w:tcW w:type="dxa" w:w="1234"/>
          </w:tcPr>
          <w:p>
            <w:r>
              <w:t>Train–CV gap</w:t>
            </w:r>
          </w:p>
        </w:tc>
      </w:tr>
      <w:tr>
        <w:tc>
          <w:tcPr>
            <w:tcW w:type="dxa" w:w="1234"/>
          </w:tcPr>
          <w:p>
            <w:r>
              <w:t>Logistic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0.600–1.000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</w:tr>
      <w:tr>
        <w:tc>
          <w:tcPr>
            <w:tcW w:type="dxa" w:w="1234"/>
          </w:tcPr>
          <w:p>
            <w:r>
              <w:t>LDA</w:t>
            </w:r>
          </w:p>
        </w:tc>
        <w:tc>
          <w:tcPr>
            <w:tcW w:type="dxa" w:w="1234"/>
          </w:tcPr>
          <w:p>
            <w:r>
              <w:t>0.818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0.600–1.000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</w:tr>
    </w:tbl>
    <w:p/>
    <w:p>
      <w:r>
        <w:t>The two models are statistically indistinguishable at this sample size. LDA has</w:t>
      </w:r>
    </w:p>
    <w:p>
      <w:r>
        <w:t>slightly better leave-one-out accuracy; logistic is easier to interpret. Neither</w:t>
      </w:r>
    </w:p>
    <w:p>
      <w:r>
        <w:t>justifies reporting a single AUC without the spread.</w:t>
      </w:r>
    </w:p>
    <w:p>
      <w:pPr>
        <w:pStyle w:val="Heading3"/>
      </w:pPr>
      <w:r>
        <w:t>7.5 Sensitivity</w:t>
      </w:r>
    </w:p>
    <w:p>
      <w:r>
        <w:t>Dropping the provisional policy score improves CV AUC to 0.837 (LDA) and 0.832</w:t>
      </w:r>
    </w:p>
    <w:p>
      <w:r>
        <w:t>(logistic). Restricting to the 44 boundary-harmonised cities raises AUC to 0.896</w:t>
      </w:r>
    </w:p>
    <w:p>
      <w:r>
        <w:t>and 0.892. The second result is expected: the seven excluded rows use municipal</w:t>
      </w:r>
    </w:p>
    <w:p>
      <w:r>
        <w:t>boundaries rather than urban agglomerations, which adds noise to density. The</w:t>
      </w:r>
    </w:p>
    <w:p>
      <w:r>
        <w:t>first is evidence that the provisional policy score is not adding signal.</w:t>
      </w:r>
    </w:p>
    <w:p>
      <w:pPr>
        <w:pStyle w:val="Heading3"/>
      </w:pPr>
      <w:r>
        <w:t>7.6 Interpretation</w:t>
      </w:r>
    </w:p>
    <w:p>
      <w:r>
        <w:t>The classifier is a screening tool, not a decision rule. With n=51, a city near</w:t>
      </w:r>
    </w:p>
    <w:p>
      <w:r>
        <w:t>the median can move between classes under small changes. The CDS uses the</w:t>
      </w:r>
    </w:p>
    <w:p>
      <w:r>
        <w:t>probability rather than the binary class.</w:t>
      </w:r>
    </w:p>
    <w:p>
      <w:r>
        <w:t>---</w:t>
      </w:r>
    </w:p>
    <w:p>
      <w:pPr>
        <w:pStyle w:val="Heading2"/>
      </w:pPr>
      <w:r>
        <w:t>8. Objective 4 — 12-month forecasts (M3)</w:t>
      </w:r>
    </w:p>
    <w:p>
      <w:pPr>
        <w:pStyle w:val="Heading3"/>
      </w:pPr>
      <w:r>
        <w:t>8.1 Method</w:t>
      </w:r>
    </w:p>
    <w:p>
      <w:r>
        <w:t>Each city's monthly EV series is fitted with SARIMA and Holt-Winters. The last</w:t>
      </w:r>
    </w:p>
    <w:p>
      <w:r>
        <w:t>nine months are held out (January–September 2026); the better model is refit on</w:t>
      </w:r>
    </w:p>
    <w:p>
      <w:r>
        <w:t>the full series and forecast 12 months ahead. SARIMA orders are searched over a</w:t>
      </w:r>
    </w:p>
    <w:p>
      <w:r>
        <w:t>constrained grid with d from an ADF test and seasonal differencing fixed at</w:t>
      </w:r>
    </w:p>
    <w:p>
      <w:r>
        <w:t>one.</w:t>
      </w:r>
    </w:p>
    <w:p>
      <w:pPr>
        <w:pStyle w:val="Heading3"/>
      </w:pPr>
      <w:r>
        <w:t>8.2 Numerical stability</w:t>
      </w:r>
    </w:p>
    <w:p>
      <w:r>
        <w:t>An earlier run produced non-converged SARIMA fits with holdout RMSE around</w:t>
      </w:r>
    </w:p>
    <w:p>
      <w:r>
        <w:t>1e29–1e84 for Jaipur, Mysuru, Indore, Dehradun, Kolkata, and Visakhapatnam.</w:t>
      </w:r>
    </w:p>
    <w:p>
      <w:r>
        <w:t>Those forecasts were unusable. The fix is to fit each series on a scaled copy</w:t>
      </w:r>
    </w:p>
    <w:p>
      <w:r>
        <w:t>(divided by its mean), reject non-converged fits, and reject any forecast that</w:t>
      </w:r>
    </w:p>
    <w:p>
      <w:r>
        <w:t>is non-finite or more than 10× the training maximum. After the fix, all 51</w:t>
      </w:r>
    </w:p>
    <w:p>
      <w:r>
        <w:t>cities produce finite forecasts and pass the quality gate.</w:t>
      </w:r>
    </w:p>
    <w:p>
      <w:pPr>
        <w:pStyle w:val="Heading3"/>
      </w:pPr>
      <w:r>
        <w:t>8.3 Quality gate</w:t>
      </w:r>
    </w:p>
    <w:p>
      <w:r>
        <w:t>Each city carries holdout_rmse_rel (holdout RMSE divided by the nine-month</w:t>
      </w:r>
    </w:p>
    <w:p>
      <w:r>
        <w:t>holdout total) and forecast_quality (ok if ≤0.5, weak if ≤1.0, else</w:t>
      </w:r>
    </w:p>
    <w:p>
      <w:r>
        <w:t>unstable). The maximum relative RMSE is 0.086, so all 51 are ok.</w:t>
      </w:r>
    </w:p>
    <w:p>
      <w:pPr>
        <w:pStyle w:val="Heading3"/>
      </w:pPr>
      <w:r>
        <w:t>8.4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Winner</w:t>
            </w:r>
          </w:p>
        </w:tc>
        <w:tc>
          <w:tcPr>
            <w:tcW w:type="dxa" w:w="1440"/>
          </w:tcPr>
          <w:p>
            <w:r>
              <w:t>Last 12m</w:t>
            </w:r>
          </w:p>
        </w:tc>
        <w:tc>
          <w:tcPr>
            <w:tcW w:type="dxa" w:w="1440"/>
          </w:tcPr>
          <w:p>
            <w:r>
              <w:t>Forecast 12m</w:t>
            </w:r>
          </w:p>
        </w:tc>
        <w:tc>
          <w:tcPr>
            <w:tcW w:type="dxa" w:w="1440"/>
          </w:tcPr>
          <w:p>
            <w:r>
              <w:t>Growth</w:t>
            </w:r>
          </w:p>
        </w:tc>
        <w:tc>
          <w:tcPr>
            <w:tcW w:type="dxa" w:w="1440"/>
          </w:tcPr>
          <w:p>
            <w:r>
              <w:t>RMSE/level</w:t>
            </w:r>
          </w:p>
        </w:tc>
      </w:tr>
      <w:tr>
        <w:tc>
          <w:tcPr>
            <w:tcW w:type="dxa" w:w="1440"/>
          </w:tcPr>
          <w:p>
            <w:r>
              <w:t>Jaipur</w:t>
            </w:r>
          </w:p>
        </w:tc>
        <w:tc>
          <w:tcPr>
            <w:tcW w:type="dxa" w:w="1440"/>
          </w:tcPr>
          <w:p>
            <w:r>
              <w:t>Holt-Winters</w:t>
            </w:r>
          </w:p>
        </w:tc>
        <w:tc>
          <w:tcPr>
            <w:tcW w:type="dxa" w:w="1440"/>
          </w:tcPr>
          <w:p>
            <w:r>
              <w:t>30,456</w:t>
            </w:r>
          </w:p>
        </w:tc>
        <w:tc>
          <w:tcPr>
            <w:tcW w:type="dxa" w:w="1440"/>
          </w:tcPr>
          <w:p>
            <w:r>
              <w:t>63,996</w:t>
            </w:r>
          </w:p>
        </w:tc>
        <w:tc>
          <w:tcPr>
            <w:tcW w:type="dxa" w:w="1440"/>
          </w:tcPr>
          <w:p>
            <w:r>
              <w:t>1.101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</w:tr>
      <w:tr>
        <w:tc>
          <w:tcPr>
            <w:tcW w:type="dxa" w:w="1440"/>
          </w:tcPr>
          <w:p>
            <w:r>
              <w:t>Rajkot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8,300</w:t>
            </w:r>
          </w:p>
        </w:tc>
        <w:tc>
          <w:tcPr>
            <w:tcW w:type="dxa" w:w="1440"/>
          </w:tcPr>
          <w:p>
            <w:r>
              <w:t>15,780</w:t>
            </w:r>
          </w:p>
        </w:tc>
        <w:tc>
          <w:tcPr>
            <w:tcW w:type="dxa" w:w="1440"/>
          </w:tcPr>
          <w:p>
            <w:r>
              <w:t>0.901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</w:tr>
      <w:tr>
        <w:tc>
          <w:tcPr>
            <w:tcW w:type="dxa" w:w="1440"/>
          </w:tcPr>
          <w:p>
            <w:r>
              <w:t>Bhubaneswar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36,036</w:t>
            </w:r>
          </w:p>
        </w:tc>
        <w:tc>
          <w:tcPr>
            <w:tcW w:type="dxa" w:w="1440"/>
          </w:tcPr>
          <w:p>
            <w:r>
              <w:t>60,525</w:t>
            </w:r>
          </w:p>
        </w:tc>
        <w:tc>
          <w:tcPr>
            <w:tcW w:type="dxa" w:w="1440"/>
          </w:tcPr>
          <w:p>
            <w:r>
              <w:t>0.680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</w:tr>
      <w:tr>
        <w:tc>
          <w:tcPr>
            <w:tcW w:type="dxa" w:w="1440"/>
          </w:tcPr>
          <w:p>
            <w:r>
              <w:t>Guwahati</w:t>
            </w:r>
          </w:p>
        </w:tc>
        <w:tc>
          <w:tcPr>
            <w:tcW w:type="dxa" w:w="1440"/>
          </w:tcPr>
          <w:p>
            <w:r>
              <w:t>Holt-Winters</w:t>
            </w:r>
          </w:p>
        </w:tc>
        <w:tc>
          <w:tcPr>
            <w:tcW w:type="dxa" w:w="1440"/>
          </w:tcPr>
          <w:p>
            <w:r>
              <w:t>14,543</w:t>
            </w:r>
          </w:p>
        </w:tc>
        <w:tc>
          <w:tcPr>
            <w:tcW w:type="dxa" w:w="1440"/>
          </w:tcPr>
          <w:p>
            <w:r>
              <w:t>24,258</w:t>
            </w:r>
          </w:p>
        </w:tc>
        <w:tc>
          <w:tcPr>
            <w:tcW w:type="dxa" w:w="1440"/>
          </w:tcPr>
          <w:p>
            <w:r>
              <w:t>0.668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</w:tr>
      <w:tr>
        <w:tc>
          <w:tcPr>
            <w:tcW w:type="dxa" w:w="1440"/>
          </w:tcPr>
          <w:p>
            <w:r>
              <w:t>Pune</w:t>
            </w:r>
          </w:p>
        </w:tc>
        <w:tc>
          <w:tcPr>
            <w:tcW w:type="dxa" w:w="1440"/>
          </w:tcPr>
          <w:p>
            <w:r>
              <w:t>Holt-Winters</w:t>
            </w:r>
          </w:p>
        </w:tc>
        <w:tc>
          <w:tcPr>
            <w:tcW w:type="dxa" w:w="1440"/>
          </w:tcPr>
          <w:p>
            <w:r>
              <w:t>67,754</w:t>
            </w:r>
          </w:p>
        </w:tc>
        <w:tc>
          <w:tcPr>
            <w:tcW w:type="dxa" w:w="1440"/>
          </w:tcPr>
          <w:p>
            <w:r>
              <w:t>107,179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</w:tr>
      <w:tr>
        <w:tc>
          <w:tcPr>
            <w:tcW w:type="dxa" w:w="1440"/>
          </w:tcPr>
          <w:p>
            <w:r>
              <w:t>Madurai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5,455</w:t>
            </w:r>
          </w:p>
        </w:tc>
        <w:tc>
          <w:tcPr>
            <w:tcW w:type="dxa" w:w="1440"/>
          </w:tcPr>
          <w:p>
            <w:r>
              <w:t>8,585</w:t>
            </w:r>
          </w:p>
        </w:tc>
        <w:tc>
          <w:tcPr>
            <w:tcW w:type="dxa" w:w="1440"/>
          </w:tcPr>
          <w:p>
            <w:r>
              <w:t>0.574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</w:tr>
      <w:tr>
        <w:tc>
          <w:tcPr>
            <w:tcW w:type="dxa" w:w="1440"/>
          </w:tcPr>
          <w:p>
            <w:r>
              <w:t>Gurugram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3,238</w:t>
            </w:r>
          </w:p>
        </w:tc>
        <w:tc>
          <w:tcPr>
            <w:tcW w:type="dxa" w:w="1440"/>
          </w:tcPr>
          <w:p>
            <w:r>
              <w:t>5,055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</w:tr>
      <w:tr>
        <w:tc>
          <w:tcPr>
            <w:tcW w:type="dxa" w:w="1440"/>
          </w:tcPr>
          <w:p>
            <w:r>
              <w:t>Srinagar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3,092</w:t>
            </w:r>
          </w:p>
        </w:tc>
        <w:tc>
          <w:tcPr>
            <w:tcW w:type="dxa" w:w="1440"/>
          </w:tcPr>
          <w:p>
            <w:r>
              <w:t>4,780</w:t>
            </w:r>
          </w:p>
        </w:tc>
        <w:tc>
          <w:tcPr>
            <w:tcW w:type="dxa" w:w="1440"/>
          </w:tcPr>
          <w:p>
            <w:r>
              <w:t>0.546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</w:tr>
      <w:tr>
        <w:tc>
          <w:tcPr>
            <w:tcW w:type="dxa" w:w="1440"/>
          </w:tcPr>
          <w:p>
            <w:r>
              <w:t>Nashik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29,344</w:t>
            </w:r>
          </w:p>
        </w:tc>
        <w:tc>
          <w:tcPr>
            <w:tcW w:type="dxa" w:w="1440"/>
          </w:tcPr>
          <w:p>
            <w:r>
              <w:t>45,007</w:t>
            </w:r>
          </w:p>
        </w:tc>
        <w:tc>
          <w:tcPr>
            <w:tcW w:type="dxa" w:w="1440"/>
          </w:tcPr>
          <w:p>
            <w:r>
              <w:t>0.534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</w:tr>
      <w:tr>
        <w:tc>
          <w:tcPr>
            <w:tcW w:type="dxa" w:w="1440"/>
          </w:tcPr>
          <w:p>
            <w:r>
              <w:t>Noida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22,049</w:t>
            </w:r>
          </w:p>
        </w:tc>
        <w:tc>
          <w:tcPr>
            <w:tcW w:type="dxa" w:w="1440"/>
          </w:tcPr>
          <w:p>
            <w:r>
              <w:t>33,496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  <w:tr>
        <w:tc>
          <w:tcPr>
            <w:tcW w:type="dxa" w:w="1440"/>
          </w:tcPr>
          <w:p>
            <w:r>
              <w:t>Vadodara</w:t>
            </w:r>
          </w:p>
        </w:tc>
        <w:tc>
          <w:tcPr>
            <w:tcW w:type="dxa" w:w="1440"/>
          </w:tcPr>
          <w:p>
            <w:r>
              <w:t>Holt-Winters</w:t>
            </w:r>
          </w:p>
        </w:tc>
        <w:tc>
          <w:tcPr>
            <w:tcW w:type="dxa" w:w="1440"/>
          </w:tcPr>
          <w:p>
            <w:r>
              <w:t>11,872</w:t>
            </w:r>
          </w:p>
        </w:tc>
        <w:tc>
          <w:tcPr>
            <w:tcW w:type="dxa" w:w="1440"/>
          </w:tcPr>
          <w:p>
            <w:r>
              <w:t>17,612</w:t>
            </w:r>
          </w:p>
        </w:tc>
        <w:tc>
          <w:tcPr>
            <w:tcW w:type="dxa" w:w="1440"/>
          </w:tcPr>
          <w:p>
            <w:r>
              <w:t>0.484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</w:tr>
      <w:tr>
        <w:tc>
          <w:tcPr>
            <w:tcW w:type="dxa" w:w="1440"/>
          </w:tcPr>
          <w:p>
            <w:r>
              <w:t>Coimbatore</w:t>
            </w:r>
          </w:p>
        </w:tc>
        <w:tc>
          <w:tcPr>
            <w:tcW w:type="dxa" w:w="1440"/>
          </w:tcPr>
          <w:p>
            <w:r>
              <w:t>Holt-Winters</w:t>
            </w:r>
          </w:p>
        </w:tc>
        <w:tc>
          <w:tcPr>
            <w:tcW w:type="dxa" w:w="1440"/>
          </w:tcPr>
          <w:p>
            <w:r>
              <w:t>10,769</w:t>
            </w:r>
          </w:p>
        </w:tc>
        <w:tc>
          <w:tcPr>
            <w:tcW w:type="dxa" w:w="1440"/>
          </w:tcPr>
          <w:p>
            <w:r>
              <w:t>15,784</w:t>
            </w:r>
          </w:p>
        </w:tc>
        <w:tc>
          <w:tcPr>
            <w:tcW w:type="dxa" w:w="1440"/>
          </w:tcPr>
          <w:p>
            <w:r>
              <w:t>0.466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</w:tbl>
    <w:p/>
    <w:p>
      <w:r>
        <w:t>SARIMA wins 28 cities and Holt-Winters 23. The table carries both forecasts for</w:t>
      </w:r>
    </w:p>
    <w:p>
      <w:r>
        <w:t>every city, so the SARIMA objective is satisfied even where Holt-Winters wins</w:t>
      </w:r>
    </w:p>
    <w:p>
      <w:r>
        <w:t>the holdout.</w:t>
      </w:r>
    </w:p>
    <w:p>
      <w:pPr>
        <w:pStyle w:val="Heading3"/>
      </w:pPr>
      <w:r>
        <w:t>8.5 The 2021 seam and forecast sensitivity</w:t>
      </w:r>
    </w:p>
    <w:p>
      <w:r>
        <w:t>Refitting M3 on the 2022-only panel changes forecast growth by a median of</w:t>
      </w:r>
    </w:p>
    <w:p>
      <w:r>
        <w:t>0.033. The largest moves are Bhopal +0.41, Guwahati −0.26, Rajkot −0.26, Pune</w:t>
      </w:r>
    </w:p>
    <w:p>
      <w:r>
        <w:t>−0.24, and Agra +0.20. For cities with a large 2021→2022 step (Guwahati,</w:t>
      </w:r>
    </w:p>
    <w:p>
      <w:r>
        <w:t>Jabalpur, Rajkot), the 2022-only forecast is the more defensible one. The full</w:t>
      </w:r>
    </w:p>
    <w:p>
      <w:r>
        <w:t>sensitivity is in model_m3_2022only.csv.</w:t>
      </w:r>
    </w:p>
    <w:p>
      <w:pPr>
        <w:pStyle w:val="Heading3"/>
      </w:pPr>
      <w:r>
        <w:t>8.6 Which forecasts to trust</w:t>
      </w:r>
    </w:p>
    <w:p>
      <w:r>
        <w:t>All 51 pass the gate, but the gate is relative to each city's own level. Small</w:t>
      </w:r>
    </w:p>
    <w:p>
      <w:r>
        <w:t>cities with fewer than 5,000 registrations per year have wider relative</w:t>
      </w:r>
    </w:p>
    <w:p>
      <w:r>
        <w:t>uncertainty even when the metric looks acceptable. The top-15 shortlist is the</w:t>
      </w:r>
    </w:p>
    <w:p>
      <w:r>
        <w:t>appropriate place to act; forecasts for small cities should be treated as</w:t>
      </w:r>
    </w:p>
    <w:p>
      <w:r>
        <w:t>directional.</w:t>
      </w:r>
    </w:p>
    <w:p>
      <w:r>
        <w:drawing>
          <wp:inline xmlns:a="http://schemas.openxmlformats.org/drawingml/2006/main" xmlns:pic="http://schemas.openxmlformats.org/drawingml/2006/picture">
            <wp:extent cx="5669280" cy="3647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forecast_vs_obser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9. Objective 5 — Charging Demand Score and hotspots</w:t>
      </w:r>
    </w:p>
    <w:p>
      <w:pPr>
        <w:pStyle w:val="Heading3"/>
      </w:pPr>
      <w:r>
        <w:t>9.1 Formula</w:t>
      </w:r>
    </w:p>
    <w:p>
      <w:r>
        <w:t>`</w:t>
      </w:r>
    </w:p>
    <w:p>
      <w:r>
        <w:t>CDS = 0.40·z(M1 expected monthly)</w:t>
      </w:r>
    </w:p>
    <w:p>
      <w:r>
        <w:t>+ 0.30·P(high demand)</w:t>
      </w:r>
    </w:p>
    <w:p>
      <w:r>
        <w:t>+ 0.30·z(M3 forecast growth)</w:t>
      </w:r>
    </w:p>
    <w:p>
      <w:r>
        <w:t>`</w:t>
      </w:r>
    </w:p>
    <w:p>
      <w:r>
        <w:t>The weights are a policy choice, not an estimate. A forecast only enters the</w:t>
      </w:r>
    </w:p>
    <w:p>
      <w:r>
        <w:t>score when forecast_quality = ok; otherwise observed 12-month growth is used</w:t>
      </w:r>
    </w:p>
    <w:p>
      <w:r>
        <w:t>and m3_source records the fallback. In the current run all 51 forecasts pass,</w:t>
      </w:r>
    </w:p>
    <w:p>
      <w:r>
        <w:t>so every city uses its model forecast.</w:t>
      </w:r>
    </w:p>
    <w:p>
      <w:pPr>
        <w:pStyle w:val="Heading3"/>
      </w:pPr>
      <w:r>
        <w:t>9.2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CDS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Bengaluru</w:t>
            </w:r>
          </w:p>
        </w:tc>
        <w:tc>
          <w:tcPr>
            <w:tcW w:type="dxa" w:w="2160"/>
          </w:tcPr>
          <w:p>
            <w:r>
              <w:t>1.702</w:t>
            </w:r>
          </w:p>
        </w:tc>
        <w:tc>
          <w:tcPr>
            <w:tcW w:type="dxa" w:w="2160"/>
          </w:tcPr>
          <w:p>
            <w:r>
              <w:t>Critical — immediate fast-charger deployment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Jaipur</w:t>
            </w:r>
          </w:p>
        </w:tc>
        <w:tc>
          <w:tcPr>
            <w:tcW w:type="dxa" w:w="2160"/>
          </w:tcPr>
          <w:p>
            <w:r>
              <w:t>1.513</w:t>
            </w:r>
          </w:p>
        </w:tc>
        <w:tc>
          <w:tcPr>
            <w:tcW w:type="dxa" w:w="2160"/>
          </w:tcPr>
          <w:p>
            <w:r>
              <w:t>Critical — immediate fast-charger deployment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Delhi</w:t>
            </w:r>
          </w:p>
        </w:tc>
        <w:tc>
          <w:tcPr>
            <w:tcW w:type="dxa" w:w="2160"/>
          </w:tcPr>
          <w:p>
            <w:r>
              <w:t>1.498</w:t>
            </w:r>
          </w:p>
        </w:tc>
        <w:tc>
          <w:tcPr>
            <w:tcW w:type="dxa" w:w="2160"/>
          </w:tcPr>
          <w:p>
            <w:r>
              <w:t>High — prioritise in the next wave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Pune</w:t>
            </w:r>
          </w:p>
        </w:tc>
        <w:tc>
          <w:tcPr>
            <w:tcW w:type="dxa" w:w="2160"/>
          </w:tcPr>
          <w:p>
            <w:r>
              <w:t>1.354</w:t>
            </w:r>
          </w:p>
        </w:tc>
        <w:tc>
          <w:tcPr>
            <w:tcW w:type="dxa" w:w="2160"/>
          </w:tcPr>
          <w:p>
            <w:r>
              <w:t>High — prioritise in the next wave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Rajkot</w:t>
            </w:r>
          </w:p>
        </w:tc>
        <w:tc>
          <w:tcPr>
            <w:tcW w:type="dxa" w:w="2160"/>
          </w:tcPr>
          <w:p>
            <w:r>
              <w:t>0.734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Bhubaneswar</w:t>
            </w:r>
          </w:p>
        </w:tc>
        <w:tc>
          <w:tcPr>
            <w:tcW w:type="dxa" w:w="2160"/>
          </w:tcPr>
          <w:p>
            <w:r>
              <w:t>0.719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Hyderabad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Noida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Lucknow</w:t>
            </w:r>
          </w:p>
        </w:tc>
        <w:tc>
          <w:tcPr>
            <w:tcW w:type="dxa" w:w="2160"/>
          </w:tcPr>
          <w:p>
            <w:r>
              <w:t>0.484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Guwahati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Patna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Nashik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Gwalior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Indore</w:t>
            </w:r>
          </w:p>
        </w:tc>
        <w:tc>
          <w:tcPr>
            <w:tcW w:type="dxa" w:w="2160"/>
          </w:tcPr>
          <w:p>
            <w:r>
              <w:t>0.219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  <w:tc>
          <w:tcPr>
            <w:tcW w:type="dxa" w:w="2160"/>
          </w:tcPr>
          <w:p>
            <w:r>
              <w:t>0.169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</w:tbl>
    <w:p/>
    <w:p>
      <w:r>
        <w:t>Bengaluru and Jaipur are the only Critical cities: both combine a high expected</w:t>
      </w:r>
    </w:p>
    <w:p>
      <w:r>
        <w:t>monthly level with strong forecast growth. Delhi and Pune are High. The</w:t>
      </w:r>
    </w:p>
    <w:p>
      <w:r>
        <w:t>remainder of the shortlist is Moderate; the full 51-city ranking is in</w:t>
      </w:r>
    </w:p>
    <w:p>
      <w:r>
        <w:t>cds_ranking.csv.</w:t>
      </w:r>
    </w:p>
    <w:p>
      <w:pPr>
        <w:pStyle w:val="Heading3"/>
      </w:pPr>
      <w:r>
        <w:t>9.3 Sensitivity</w:t>
      </w:r>
    </w:p>
    <w:p>
      <w:r>
        <w:t>Perturbing each weight by ±0.10 retains 14–15 of the top 15. The ranking is</w:t>
      </w:r>
    </w:p>
    <w:p>
      <w:r>
        <w:t>therefore informative at the top but not knife-edge.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Perturbation</w:t>
            </w:r>
          </w:p>
        </w:tc>
        <w:tc>
          <w:tcPr>
            <w:tcW w:type="dxa" w:w="2160"/>
          </w:tcPr>
          <w:p>
            <w:r>
              <w:t>Overlap</w:t>
            </w:r>
          </w:p>
        </w:tc>
        <w:tc>
          <w:tcPr>
            <w:tcW w:type="dxa" w:w="2160"/>
          </w:tcPr>
          <w:p>
            <w:r>
              <w:t>Entered</w:t>
            </w:r>
          </w:p>
        </w:tc>
        <w:tc>
          <w:tcPr>
            <w:tcW w:type="dxa" w:w="2160"/>
          </w:tcPr>
          <w:p>
            <w:r>
              <w:t>Dropped</w:t>
            </w:r>
          </w:p>
        </w:tc>
      </w:tr>
      <w:tr>
        <w:tc>
          <w:tcPr>
            <w:tcW w:type="dxa" w:w="2160"/>
          </w:tcPr>
          <w:p>
            <w:r>
              <w:t>M1 −0.10</w:t>
            </w:r>
          </w:p>
        </w:tc>
        <w:tc>
          <w:tcPr>
            <w:tcW w:type="dxa" w:w="2160"/>
          </w:tcPr>
          <w:p>
            <w:r>
              <w:t>15/15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–</w:t>
            </w:r>
          </w:p>
        </w:tc>
      </w:tr>
      <w:tr>
        <w:tc>
          <w:tcPr>
            <w:tcW w:type="dxa" w:w="2160"/>
          </w:tcPr>
          <w:p>
            <w:r>
              <w:t>M1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Surat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M2 −0.10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Surat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M2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Allahabad (Prayagraj)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M3 −0.10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Allahabad (Prayagraj)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M3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Madurai</w:t>
            </w:r>
          </w:p>
        </w:tc>
        <w:tc>
          <w:tcPr>
            <w:tcW w:type="dxa" w:w="2160"/>
          </w:tcPr>
          <w:p>
            <w:r>
              <w:t>Indore</w:t>
            </w:r>
          </w:p>
        </w:tc>
      </w:tr>
    </w:tbl>
    <w:p/>
    <w:p>
      <w:pPr>
        <w:pStyle w:val="Heading3"/>
      </w:pPr>
      <w:r>
        <w:t>9.4 Map and use</w:t>
      </w:r>
    </w:p>
    <w:p>
      <w:r>
        <w:t>reports/cds_map.html plots the 51 cities on the state polygons. The intended</w:t>
      </w:r>
    </w:p>
    <w:p>
      <w:r>
        <w:t>use is a portfolio shortlist: the top 15 are where a CPO should conduct</w:t>
      </w:r>
    </w:p>
    <w:p>
      <w:r>
        <w:t>site-level due diligence. The score ranks cities, not sites; it cannot choose a</w:t>
      </w:r>
    </w:p>
    <w:p>
      <w:r>
        <w:t>street corner.</w:t>
      </w:r>
    </w:p>
    <w:p>
      <w:r>
        <w:drawing>
          <wp:inline xmlns:a="http://schemas.openxmlformats.org/drawingml/2006/main" xmlns:pic="http://schemas.openxmlformats.org/drawingml/2006/picture">
            <wp:extent cx="5669280" cy="2874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s_top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10. Robustness</w:t>
      </w:r>
    </w:p>
    <w:p>
      <w:r>
        <w:t>The results survive four perturbations:</w:t>
      </w:r>
    </w:p>
    <w:p>
      <w:pPr>
        <w:pStyle w:val="ListNumber"/>
      </w:pPr>
      <w:r>
        <w:t>Fuel price removed. Market size and income retain their sign and</w:t>
      </w:r>
    </w:p>
    <w:p>
      <w:r>
        <w:t>significance; the policy coefficient moves to the edge of significance.</w:t>
      </w:r>
    </w:p>
    <w:p>
      <w:pPr>
        <w:pStyle w:val="ListNumber"/>
      </w:pPr>
      <w:r>
        <w:t>Policy removed. M1 market and income findings are unchanged, and M2 AUC</w:t>
      </w:r>
    </w:p>
    <w:p>
      <w:r>
        <w:t>rises, confirming that the provisional score is not carrying the result.</w:t>
      </w:r>
    </w:p>
    <w:p>
      <w:pPr>
        <w:pStyle w:val="ListNumber"/>
      </w:pPr>
      <w:r>
        <w:t>Seven municipal-boundary cities removed. M1 density becomes stronger and</w:t>
      </w:r>
    </w:p>
    <w:p>
      <w:r>
        <w:t>significant; M2 AUC rises to about 0.89.</w:t>
      </w:r>
    </w:p>
    <w:p>
      <w:pPr>
        <w:pStyle w:val="ListNumber"/>
      </w:pPr>
      <w:r>
        <w:t>2021 removed from M3. Forecast growth moves by a median of 0.033; the</w:t>
      </w:r>
    </w:p>
    <w:p>
      <w:r>
        <w:t>cities with the largest moves are exactly those with the largest seam flags.</w:t>
      </w:r>
    </w:p>
    <w:p>
      <w:r>
        <w:t>The CDS top 15 is stable under weight perturbations. The main threat to the</w:t>
      </w:r>
    </w:p>
    <w:p>
      <w:r>
        <w:t>ranking is not model choice but the charger snapshot: a single count error for a</w:t>
      </w:r>
    </w:p>
    <w:p>
      <w:r>
        <w:t>small city can move its demand ratio substantially.</w:t>
      </w:r>
    </w:p>
    <w:p>
      <w:r>
        <w:t>---</w:t>
      </w:r>
    </w:p>
    <w:p>
      <w:pPr>
        <w:pStyle w:val="Heading2"/>
      </w:pPr>
      <w:r>
        <w:t>11. Limitations</w:t>
      </w:r>
    </w:p>
    <w:p>
      <w:pPr>
        <w:pStyle w:val="ListNumber"/>
      </w:pPr>
      <w:r>
        <w:t>Policy scores are provisional for all 30 states. The rubric columns are</w:t>
      </w:r>
    </w:p>
    <w:p>
      <w:r>
        <w:t>blank and no state has been verified against its policy PDF. The coefficient</w:t>
      </w:r>
    </w:p>
    <w:p>
      <w:r>
        <w:t>should be quoted as provisional or omitted. The BEE policy host</w:t>
      </w:r>
    </w:p>
    <w:p>
      <w:r>
        <w:t>(evyatra.beeindia.gov.in) was unreachable from the build environment;</w:t>
      </w:r>
    </w:p>
    <w:p>
      <w:r>
        <w:t>scripts/verify_policy_scores.py is ready to run where it is reachable.</w:t>
      </w:r>
    </w:p>
    <w:p>
      <w:pPr>
        <w:pStyle w:val="ListNumber"/>
      </w:pPr>
      <w:r>
        <w:t>Seven cities use municipal boundaries. Chandigarh, Guwahati, Mysuru,</w:t>
      </w:r>
    </w:p>
    <w:p>
      <w:r>
        <w:t>Bhubaneswar, Dehradun, Gurugram, and Noida now have verified Census 2011</w:t>
      </w:r>
    </w:p>
    <w:p>
      <w:r>
        <w:t>city/MC populations and cited areas, but their footprints are municipal,</w:t>
      </w:r>
    </w:p>
    <w:p>
      <w:r>
        <w:t>while the other 44 are urban agglomerations. Mixing footprints is a real</w:t>
      </w:r>
    </w:p>
    <w:p>
      <w:r>
        <w:t>measurement problem; the 44-city boundary-harmonised sensitivity is the</w:t>
      </w:r>
    </w:p>
    <w:p>
      <w:r>
        <w:t>defensible alternative.</w:t>
      </w:r>
    </w:p>
    <w:p>
      <w:pPr>
        <w:pStyle w:val="ListNumber"/>
      </w:pPr>
      <w:r>
        <w:t>Eight cities show a &gt;1.5× step from 2021 to 2022. Guwahati is the extreme</w:t>
      </w:r>
    </w:p>
    <w:p>
      <w:r>
        <w:t>case. The 2022-only forecast is preferable for those cities.</w:t>
      </w:r>
    </w:p>
    <w:p>
      <w:pPr>
        <w:pStyle w:val="ListNumber"/>
      </w:pPr>
      <w:r>
        <w:t>Chargers are one snapshot. There are no install dates, so the</w:t>
      </w:r>
    </w:p>
    <w:p>
      <w:r>
        <w:t>charger/EV ratio cannot be read as a monthly series. The 10 km count is</w:t>
      </w:r>
    </w:p>
    <w:p>
      <w:r>
        <w:t>comparable; the 15–30 km circle is not.</w:t>
      </w:r>
    </w:p>
    <w:p>
      <w:pPr>
        <w:pStyle w:val="ListNumber"/>
      </w:pPr>
      <w:r>
        <w:t>Nine cities have no 2021 data. Their series start in 2022; a 12-month</w:t>
      </w:r>
    </w:p>
    <w:p>
      <w:r>
        <w:t>leading gap is not imputed.</w:t>
      </w:r>
    </w:p>
    <w:p>
      <w:pPr>
        <w:pStyle w:val="ListNumber"/>
      </w:pPr>
      <w:r>
        <w:t>Seventeen configured cities have no city-level covariates. They are</w:t>
      </w:r>
    </w:p>
    <w:p>
      <w:r>
        <w:t>excluded from the panel rather than filled with state proxies.</w:t>
      </w:r>
    </w:p>
    <w:p>
      <w:pPr>
        <w:pStyle w:val="ListNumber"/>
      </w:pPr>
      <w:r>
        <w:t>The vehicle split is measured for 42 cities, proxied for 9. Proxy rows are</w:t>
      </w:r>
    </w:p>
    <w:p>
      <w:r>
        <w:t>estimates, not observations.</w:t>
      </w:r>
    </w:p>
    <w:p>
      <w:pPr>
        <w:pStyle w:val="ListNumber"/>
      </w:pPr>
      <w:r>
        <w:t>n=51 is small for classification. The CV spread is wide; a single AUC is</w:t>
      </w:r>
    </w:p>
    <w:p>
      <w:r>
        <w:t>not a reliable summary.</w:t>
      </w:r>
    </w:p>
    <w:p>
      <w:pPr>
        <w:pStyle w:val="ListNumber"/>
      </w:pPr>
      <w:r>
        <w:t>Forecast quality is relative to each city's level. Small cities have</w:t>
      </w:r>
    </w:p>
    <w:p>
      <w:r>
        <w:t>wider relative uncertainty even when the gate is passed.</w:t>
      </w:r>
    </w:p>
    <w:p>
      <w:pPr>
        <w:pStyle w:val="ListNumber"/>
      </w:pPr>
      <w:r>
        <w:t>The 29,070 station records are not a national station headcount. Report</w:t>
      </w:r>
    </w:p>
    <w:p>
      <w:r>
        <w:t>the definition and vintage with any charger number.</w:t>
      </w:r>
    </w:p>
    <w:p>
      <w:r>
        <w:t>---</w:t>
      </w:r>
    </w:p>
    <w:p>
      <w:pPr>
        <w:pStyle w:val="Heading2"/>
      </w:pPr>
      <w:r>
        <w:t>12. Recommendations</w:t>
      </w:r>
    </w:p>
    <w:p>
      <w:pPr>
        <w:pStyle w:val="ListNumber"/>
      </w:pPr>
      <w:r>
        <w:t>Verify the policy rubric from the 28 available PDFs, with a quoted</w:t>
      </w:r>
    </w:p>
    <w:p>
      <w:r>
        <w:t>snippet per flag. Until then, run M1 and M2 without the policy score.</w:t>
      </w:r>
    </w:p>
    <w:p>
      <w:pPr>
        <w:pStyle w:val="ListNumber"/>
      </w:pPr>
      <w:r>
        <w:t>Harmonise the seven municipal rows to urban-agglomeration boundaries, or</w:t>
      </w:r>
    </w:p>
    <w:p>
      <w:r>
        <w:t>publish the 44-city boundary-harmonised model as the primary result.</w:t>
      </w:r>
    </w:p>
    <w:p>
      <w:pPr>
        <w:pStyle w:val="ListNumber"/>
      </w:pPr>
      <w:r>
        <w:t>Use the 10 km fixed-radius supply measure for all comparisons. Do not</w:t>
      </w:r>
    </w:p>
    <w:p>
      <w:r>
        <w:t>compare the variable-radius circle counts across cities.</w:t>
      </w:r>
    </w:p>
    <w:p>
      <w:pPr>
        <w:pStyle w:val="ListNumber"/>
      </w:pPr>
      <w:r>
        <w:t>Treat 2021 as a separate source. Report the 2022-only forecast for cities</w:t>
      </w:r>
    </w:p>
    <w:p>
      <w:r>
        <w:t>flagged in seam_2021_2022.csv.</w:t>
      </w:r>
    </w:p>
    <w:p>
      <w:pPr>
        <w:pStyle w:val="ListNumber"/>
      </w:pPr>
      <w:r>
        <w:t>Deploy against the top-15 shortlist, and use the full ranking only for</w:t>
      </w:r>
    </w:p>
    <w:p>
      <w:r>
        <w:t>screening.</w:t>
      </w:r>
    </w:p>
    <w:p>
      <w:pPr>
        <w:pStyle w:val="ListNumber"/>
      </w:pPr>
      <w:r>
        <w:t>Refresh the charger snapshot before any deployment decision. The demand</w:t>
      </w:r>
    </w:p>
    <w:p>
      <w:r>
        <w:t>metric is a ratio; both numerator and denominator move.</w:t>
      </w:r>
    </w:p>
    <w:p>
      <w:r>
        <w:t>---</w:t>
      </w:r>
    </w:p>
    <w:p>
      <w:pPr>
        <w:pStyle w:val="Heading2"/>
      </w:pPr>
      <w:r>
        <w:t>Appendix A —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data/processed/master_ev_panel.csv</w:t>
            </w:r>
          </w:p>
        </w:tc>
        <w:tc>
          <w:tcPr>
            <w:tcW w:type="dxa" w:w="4320"/>
          </w:tcPr>
          <w:p>
            <w:r>
              <w:t>3,519 × 115 analysis panel</w:t>
            </w:r>
          </w:p>
        </w:tc>
      </w:tr>
      <w:tr>
        <w:tc>
          <w:tcPr>
            <w:tcW w:type="dxa" w:w="4320"/>
          </w:tcPr>
          <w:p>
            <w:r>
              <w:t>data/processed/cds_ranking.csv</w:t>
            </w:r>
          </w:p>
        </w:tc>
        <w:tc>
          <w:tcPr>
            <w:tcW w:type="dxa" w:w="4320"/>
          </w:tcPr>
          <w:p>
            <w:r>
              <w:t>51-city CDS</w:t>
            </w:r>
          </w:p>
        </w:tc>
      </w:tr>
      <w:tr>
        <w:tc>
          <w:tcPr>
            <w:tcW w:type="dxa" w:w="4320"/>
          </w:tcPr>
          <w:p>
            <w:r>
              <w:t>data/processed/cds_ranking_top15.csv</w:t>
            </w:r>
          </w:p>
        </w:tc>
        <w:tc>
          <w:tcPr>
            <w:tcW w:type="dxa" w:w="4320"/>
          </w:tcPr>
          <w:p>
            <w:r>
              <w:t>shortlist</w:t>
            </w:r>
          </w:p>
        </w:tc>
      </w:tr>
      <w:tr>
        <w:tc>
          <w:tcPr>
            <w:tcW w:type="dxa" w:w="4320"/>
          </w:tcPr>
          <w:p>
            <w:r>
              <w:t>data/processed/model_m1_coefficients.csv</w:t>
            </w:r>
          </w:p>
        </w:tc>
        <w:tc>
          <w:tcPr>
            <w:tcW w:type="dxa" w:w="4320"/>
          </w:tcPr>
          <w:p>
            <w:r>
              <w:t>driver IRRs</w:t>
            </w:r>
          </w:p>
        </w:tc>
      </w:tr>
      <w:tr>
        <w:tc>
          <w:tcPr>
            <w:tcW w:type="dxa" w:w="4320"/>
          </w:tcPr>
          <w:p>
            <w:r>
              <w:t>data/processed/model_m1_sensitivity.csv</w:t>
            </w:r>
          </w:p>
        </w:tc>
        <w:tc>
          <w:tcPr>
            <w:tcW w:type="dxa" w:w="4320"/>
          </w:tcPr>
          <w:p>
            <w:r>
              <w:t>fuel sensitivity</w:t>
            </w:r>
          </w:p>
        </w:tc>
      </w:tr>
      <w:tr>
        <w:tc>
          <w:tcPr>
            <w:tcW w:type="dxa" w:w="4320"/>
          </w:tcPr>
          <w:p>
            <w:r>
              <w:t>data/processed/model_m1_policy_sensitivity.csv</w:t>
            </w:r>
          </w:p>
        </w:tc>
        <w:tc>
          <w:tcPr>
            <w:tcW w:type="dxa" w:w="4320"/>
          </w:tcPr>
          <w:p>
            <w:r>
              <w:t>policy sensitivity</w:t>
            </w:r>
          </w:p>
        </w:tc>
      </w:tr>
      <w:tr>
        <w:tc>
          <w:tcPr>
            <w:tcW w:type="dxa" w:w="4320"/>
          </w:tcPr>
          <w:p>
            <w:r>
              <w:t>data/processed/model_m1_demographics_sensitivity.csv</w:t>
            </w:r>
          </w:p>
        </w:tc>
        <w:tc>
          <w:tcPr>
            <w:tcW w:type="dxa" w:w="4320"/>
          </w:tcPr>
          <w:p>
            <w:r>
              <w:t>44-city sensitivity</w:t>
            </w:r>
          </w:p>
        </w:tc>
      </w:tr>
      <w:tr>
        <w:tc>
          <w:tcPr>
            <w:tcW w:type="dxa" w:w="4320"/>
          </w:tcPr>
          <w:p>
            <w:r>
              <w:t>data/processed/model_m2_comparison.csv</w:t>
            </w:r>
          </w:p>
        </w:tc>
        <w:tc>
          <w:tcPr>
            <w:tcW w:type="dxa" w:w="4320"/>
          </w:tcPr>
          <w:p>
            <w:r>
              <w:t>logistic vs LDA</w:t>
            </w:r>
          </w:p>
        </w:tc>
      </w:tr>
      <w:tr>
        <w:tc>
          <w:tcPr>
            <w:tcW w:type="dxa" w:w="4320"/>
          </w:tcPr>
          <w:p>
            <w:r>
              <w:t>data/processed/model_m2_sensitivity.csv</w:t>
            </w:r>
          </w:p>
        </w:tc>
        <w:tc>
          <w:tcPr>
            <w:tcW w:type="dxa" w:w="4320"/>
          </w:tcPr>
          <w:p>
            <w:r>
              <w:t>policy and demographic variants</w:t>
            </w:r>
          </w:p>
        </w:tc>
      </w:tr>
      <w:tr>
        <w:tc>
          <w:tcPr>
            <w:tcW w:type="dxa" w:w="4320"/>
          </w:tcPr>
          <w:p>
            <w:r>
              <w:t>data/processed/model_m3_summary.csv</w:t>
            </w:r>
          </w:p>
        </w:tc>
        <w:tc>
          <w:tcPr>
            <w:tcW w:type="dxa" w:w="4320"/>
          </w:tcPr>
          <w:p>
            <w:r>
              <w:t>winner, forecast, quality</w:t>
            </w:r>
          </w:p>
        </w:tc>
      </w:tr>
      <w:tr>
        <w:tc>
          <w:tcPr>
            <w:tcW w:type="dxa" w:w="4320"/>
          </w:tcPr>
          <w:p>
            <w:r>
              <w:t>data/processed/model_m3_2022only.csv</w:t>
            </w:r>
          </w:p>
        </w:tc>
        <w:tc>
          <w:tcPr>
            <w:tcW w:type="dxa" w:w="4320"/>
          </w:tcPr>
          <w:p>
            <w:r>
              <w:t>seam sensitivity</w:t>
            </w:r>
          </w:p>
        </w:tc>
      </w:tr>
      <w:tr>
        <w:tc>
          <w:tcPr>
            <w:tcW w:type="dxa" w:w="4320"/>
          </w:tcPr>
          <w:p>
            <w:r>
              <w:t>reports/cds_map.html</w:t>
            </w:r>
          </w:p>
        </w:tc>
        <w:tc>
          <w:tcPr>
            <w:tcW w:type="dxa" w:w="4320"/>
          </w:tcPr>
          <w:p>
            <w:r>
              <w:t>interactive map</w:t>
            </w:r>
          </w:p>
        </w:tc>
      </w:tr>
      <w:tr>
        <w:tc>
          <w:tcPr>
            <w:tcW w:type="dxa" w:w="4320"/>
          </w:tcPr>
          <w:p>
            <w:r>
              <w:t>reports/seam_2021_2022.csv</w:t>
            </w:r>
          </w:p>
        </w:tc>
        <w:tc>
          <w:tcPr>
            <w:tcW w:type="dxa" w:w="4320"/>
          </w:tcPr>
          <w:p>
            <w:r>
              <w:t>seam diagnostics</w:t>
            </w:r>
          </w:p>
        </w:tc>
      </w:tr>
      <w:tr>
        <w:tc>
          <w:tcPr>
            <w:tcW w:type="dxa" w:w="4320"/>
          </w:tcPr>
          <w:p>
            <w:r>
              <w:t>reports/eda.md</w:t>
            </w:r>
          </w:p>
        </w:tc>
        <w:tc>
          <w:tcPr>
            <w:tcW w:type="dxa" w:w="4320"/>
          </w:tcPr>
          <w:p>
            <w:r>
              <w:t>exploratory analysis</w:t>
            </w:r>
          </w:p>
        </w:tc>
      </w:tr>
      <w:tr>
        <w:tc>
          <w:tcPr>
            <w:tcW w:type="dxa" w:w="4320"/>
          </w:tcPr>
          <w:p>
            <w:r>
              <w:t>reports/final_deck.pptx</w:t>
            </w:r>
          </w:p>
        </w:tc>
        <w:tc>
          <w:tcPr>
            <w:tcW w:type="dxa" w:w="4320"/>
          </w:tcPr>
          <w:p>
            <w:r>
              <w:t>11-slide deck</w:t>
            </w:r>
          </w:p>
        </w:tc>
      </w:tr>
    </w:tbl>
    <w:p/>
    <w:p>
      <w:pPr>
        <w:pStyle w:val="Heading2"/>
      </w:pPr>
      <w:r>
        <w:t>Appendix B — reproduction</w:t>
      </w:r>
    </w:p>
    <w:p>
      <w:r>
        <w:t>`bash</w:t>
      </w:r>
    </w:p>
    <w:p>
      <w:r>
        <w:t>cd backend</w:t>
      </w:r>
    </w:p>
    <w:p>
      <w:r>
        <w:t>python scripts/build_user_dataset.py</w:t>
      </w:r>
    </w:p>
    <w:p>
      <w:r>
        <w:t>python scripts/build_master_panel.py</w:t>
      </w:r>
    </w:p>
    <w:p>
      <w:r>
        <w:t>python scripts/run_models.py</w:t>
      </w:r>
    </w:p>
    <w:p>
      <w:r>
        <w:t>python scripts/diagnose_seam.py --with-m3</w:t>
      </w:r>
    </w:p>
    <w:p>
      <w:r>
        <w:t>python scripts/make_map.py</w:t>
      </w:r>
    </w:p>
    <w:p>
      <w:r>
        <w:t>python scripts/build_report_assets.py</w:t>
      </w:r>
    </w:p>
    <w:p>
      <w:r>
        <w:t>python scripts/build_notebooks.py</w:t>
      </w:r>
    </w:p>
    <w:p>
      <w:r>
        <w:t>`</w:t>
      </w:r>
    </w:p>
    <w:p>
      <w:r>
        <w:t>Offline tests: python -m pytest -q.</w:t>
      </w:r>
    </w:p>
    <w:p>
      <w:pPr>
        <w:pStyle w:val="Heading2"/>
      </w:pPr>
      <w:r>
        <w:t>Appendix C — glossary</w:t>
      </w:r>
    </w:p>
    <w:p>
      <w:pPr>
        <w:pStyle w:val="ListBullet"/>
      </w:pPr>
      <w:r>
        <w:t>RTO: Regional Transport Office; the registration jurisdiction.</w:t>
      </w:r>
    </w:p>
    <w:p>
      <w:pPr>
        <w:pStyle w:val="ListBullet"/>
      </w:pPr>
      <w:r>
        <w:t>2W / 3W / 4W: two-, three-, and four-wheeler.</w:t>
      </w:r>
    </w:p>
    <w:p>
      <w:pPr>
        <w:pStyle w:val="ListBullet"/>
      </w:pPr>
      <w:r>
        <w:t>COMM: commercial vehicle bucket.</w:t>
      </w:r>
    </w:p>
    <w:p>
      <w:pPr>
        <w:pStyle w:val="ListBullet"/>
      </w:pPr>
      <w:r>
        <w:t>CDS: Charging Demand Score.</w:t>
      </w:r>
    </w:p>
    <w:p>
      <w:pPr>
        <w:pStyle w:val="ListBullet"/>
      </w:pPr>
      <w:r>
        <w:t>Holdout: the last nine months used to score a forecast.</w:t>
      </w:r>
    </w:p>
    <w:p>
      <w:pPr>
        <w:pStyle w:val="ListBullet"/>
      </w:pPr>
      <w:r>
        <w:t>IRR: incidence-rate ratio.</w:t>
      </w:r>
    </w:p>
    <w:p>
      <w:pPr>
        <w:pStyle w:val="ListBullet"/>
      </w:pPr>
      <w:r>
        <w:t>AUC: area under the ROC curve.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