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EVision — EV charging demand and hotspot ranking</w:t>
      </w:r>
    </w:p>
    <w:p>
      <w:r>
        <w:t>Generated from data/processed by scripts/build_report_assets.py</w:t>
      </w:r>
    </w:p>
    <w:p>
      <w:pPr>
        <w:pStyle w:val="Heading1"/>
      </w:pPr>
      <w:r>
        <w:t>EVision — EV charging demand and hotspot ranking</w:t>
      </w:r>
    </w:p>
    <w:p>
      <w:pPr>
        <w:pStyle w:val="Heading2"/>
      </w:pPr>
      <w:r>
        <w:t>Executive summary</w:t>
      </w:r>
    </w:p>
    <w:p>
      <w:r>
        <w:t>EVision ranks 51 Indian cities by public charging demand. It combines a</w:t>
      </w:r>
    </w:p>
    <w:p>
      <w:r>
        <w:t>2021–2026 city × month registration panel, charger counts at a fixed 10 km</w:t>
      </w:r>
    </w:p>
    <w:p>
      <w:r>
        <w:t>radius, Census 2011 demographics, modelled petrol prices, state policy scores,</w:t>
      </w:r>
    </w:p>
    <w:p>
      <w:r>
        <w:t>income and climate. The headline product is the Charging Demand Score (CDS),</w:t>
      </w:r>
    </w:p>
    <w:p>
      <w:r>
        <w:t>which combines a count model, a classifier and a time-series forecast.</w:t>
      </w:r>
    </w:p>
    <w:p>
      <w:r>
        <w:t>Key results:</w:t>
      </w:r>
    </w:p>
    <w:p>
      <w:pPr>
        <w:pStyle w:val="ListBullet"/>
      </w:pPr>
      <w:r>
        <w:t>3,519 city-months, 51 cities, 2021-01 to</w:t>
      </w:r>
    </w:p>
    <w:p>
      <w:r>
        <w:t>2026-09; 96.9% observed.</w:t>
      </w:r>
    </w:p>
    <w:p>
      <w:pPr>
        <w:pStyle w:val="ListBullet"/>
      </w:pPr>
      <w:r>
        <w:t>M1 drivers: non-EV market size is the strongest correlate</w:t>
      </w:r>
    </w:p>
    <w:p>
      <w:r>
        <w:t>(IRR 2.72, p &lt; 0.001); income is</w:t>
      </w:r>
    </w:p>
    <w:p>
      <w:r>
        <w:t>negative (IRR 0.56) and policy is positive</w:t>
      </w:r>
    </w:p>
    <w:p>
      <w:r>
        <w:t>(IRR 1.35, provisional).</w:t>
      </w:r>
    </w:p>
    <w:p>
      <w:pPr>
        <w:pStyle w:val="ListBullet"/>
      </w:pPr>
      <w:r>
        <w:t>M2: logistic AUC 0.822 and LDA</w:t>
      </w:r>
    </w:p>
    <w:p>
      <w:r>
        <w:t>0.818 under repeated 5-fold CV; the train–CV gap</w:t>
      </w:r>
    </w:p>
    <w:p>
      <w:r>
        <w:t>is about 0.06.</w:t>
      </w:r>
    </w:p>
    <w:p>
      <w:pPr>
        <w:pStyle w:val="ListBullet"/>
      </w:pPr>
      <w:r>
        <w:t>M3: all 51 cities forecast; 28 SARIMA and</w:t>
      </w:r>
    </w:p>
    <w:p>
      <w:r>
        <w:t>23 Holt-Winters win their holdout. All fits are</w:t>
      </w:r>
    </w:p>
    <w:p>
      <w:r>
        <w:t>finite after scaling; no city is unstable.</w:t>
      </w:r>
    </w:p>
    <w:p>
      <w:pPr>
        <w:pStyle w:val="ListBullet"/>
      </w:pPr>
      <w:r>
        <w:t>CDS top five: Bengaluru, Jaipur, Delhi, Pune, Rajkot. 2 cities are Critical and 2 High.</w:t>
      </w:r>
    </w:p>
    <w:p>
      <w:pPr>
        <w:pStyle w:val="ListBullet"/>
      </w:pPr>
      <w:r>
        <w:t>Robustness: dropping the fuel price or the provisional policy score does</w:t>
      </w:r>
    </w:p>
    <w:p>
      <w:r>
        <w:t>not change the market-size and income findings. Dropping the seven unverified</w:t>
      </w:r>
    </w:p>
    <w:p>
      <w:r>
        <w:t>demographics raises M2 AUC to nan.</w:t>
      </w:r>
    </w:p>
    <w:p>
      <w:pPr>
        <w:pStyle w:val="Heading2"/>
      </w:pPr>
      <w:r>
        <w:t>1. Problem and objectives</w:t>
      </w:r>
    </w:p>
    <w:p>
      <w:r>
        <w:t>Public charging demand is not observed. A raw EV-per-charger ratio is misleading</w:t>
      </w:r>
    </w:p>
    <w:p>
      <w:r>
        <w:t>because 2W mostly charge at home while 3W and 4W rely on public infrastructure.</w:t>
      </w:r>
    </w:p>
    <w:p>
      <w:r>
        <w:t>The project therefore: (1) builds a weighted demand metric; (2) models adoption</w:t>
      </w:r>
    </w:p>
    <w:p>
      <w:r>
        <w:t>drivers with a negative binomial; (3) classifies High/Low demand with logistic</w:t>
      </w:r>
    </w:p>
    <w:p>
      <w:r>
        <w:t>and LDA; (4) forecasts 12-month growth with SARIMA/Holt-Winters; and (5)</w:t>
      </w:r>
    </w:p>
    <w:p>
      <w:r>
        <w:t>combines them into a ranked CDS and an interactive map.</w:t>
      </w:r>
    </w:p>
    <w:p>
      <w:pPr>
        <w:pStyle w:val="Heading2"/>
      </w:pPr>
      <w:r>
        <w:t>2. Data and 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Grain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registrations/vehicle-registrations-by-fuel-type.csv</w:t>
            </w:r>
          </w:p>
        </w:tc>
        <w:tc>
          <w:tcPr>
            <w:tcW w:type="dxa" w:w="2880"/>
          </w:tcPr>
          <w:p>
            <w:r>
              <w:t>RTO × month × fuel</w:t>
            </w:r>
          </w:p>
        </w:tc>
        <w:tc>
          <w:tcPr>
            <w:tcW w:type="dxa" w:w="2880"/>
          </w:tcPr>
          <w:p>
            <w:r>
              <w:t>EV registrations (Electric(BOV) + Pure EV)</w:t>
            </w:r>
          </w:p>
        </w:tc>
      </w:tr>
      <w:tr>
        <w:tc>
          <w:tcPr>
            <w:tcW w:type="dxa" w:w="2880"/>
          </w:tcPr>
          <w:p>
            <w:r>
              <w:t>registrations/registrations-by-vehicle-category.csv</w:t>
            </w:r>
          </w:p>
        </w:tc>
        <w:tc>
          <w:tcPr>
            <w:tcW w:type="dxa" w:w="2880"/>
          </w:tcPr>
          <w:p>
            <w:r>
              <w:t>RTO × month × category</w:t>
            </w:r>
          </w:p>
        </w:tc>
        <w:tc>
          <w:tcPr>
            <w:tcW w:type="dxa" w:w="2880"/>
          </w:tcPr>
          <w:p>
            <w:r>
              <w:t>market size and 2W/3W/4W mix</w:t>
            </w:r>
          </w:p>
        </w:tc>
      </w:tr>
      <w:tr>
        <w:tc>
          <w:tcPr>
            <w:tcW w:type="dxa" w:w="2880"/>
          </w:tcPr>
          <w:p>
            <w:r>
              <w:t>registrations/registrations-by-vehicle-class.csv</w:t>
            </w:r>
          </w:p>
        </w:tc>
        <w:tc>
          <w:tcPr>
            <w:tcW w:type="dxa" w:w="2880"/>
          </w:tcPr>
          <w:p>
            <w:r>
              <w:t>RTO × month × class</w:t>
            </w:r>
          </w:p>
        </w:tc>
        <w:tc>
          <w:tcPr>
            <w:tcW w:type="dxa" w:w="2880"/>
          </w:tcPr>
          <w:p>
            <w:r>
              <w:t>transport vs non-transport</w:t>
            </w:r>
          </w:p>
        </w:tc>
      </w:tr>
      <w:tr>
        <w:tc>
          <w:tcPr>
            <w:tcW w:type="dxa" w:w="2880"/>
          </w:tcPr>
          <w:p>
            <w:r>
              <w:t>supply/city_chargers.csv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15–30 km charger circle</w:t>
            </w:r>
          </w:p>
        </w:tc>
      </w:tr>
      <w:tr>
        <w:tc>
          <w:tcPr>
            <w:tcW w:type="dxa" w:w="2880"/>
          </w:tcPr>
          <w:p>
            <w:r>
              <w:t>supply/stations_clean.csv</w:t>
            </w:r>
          </w:p>
        </w:tc>
        <w:tc>
          <w:tcPr>
            <w:tcW w:type="dxa" w:w="2880"/>
          </w:tcPr>
          <w:p>
            <w:r>
              <w:t>station</w:t>
            </w:r>
          </w:p>
        </w:tc>
        <w:tc>
          <w:tcPr>
            <w:tcW w:type="dxa" w:w="2880"/>
          </w:tcPr>
          <w:p>
            <w:r>
              <w:t>fixed 5/10 km supply</w:t>
            </w:r>
          </w:p>
        </w:tc>
      </w:tr>
      <w:tr>
        <w:tc>
          <w:tcPr>
            <w:tcW w:type="dxa" w:w="2880"/>
          </w:tcPr>
          <w:p>
            <w:r>
              <w:t>demographics/city_population_density.csv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Census 2011 + 2023 estimate</w:t>
            </w:r>
          </w:p>
        </w:tc>
      </w:tr>
      <w:tr>
        <w:tc>
          <w:tcPr>
            <w:tcW w:type="dxa" w:w="2880"/>
          </w:tcPr>
          <w:p>
            <w:r>
              <w:t>prices/city_month_petrol_51.csv</w:t>
            </w:r>
          </w:p>
        </w:tc>
        <w:tc>
          <w:tcPr>
            <w:tcW w:type="dxa" w:w="2880"/>
          </w:tcPr>
          <w:p>
            <w:r>
              <w:t>city × month</w:t>
            </w:r>
          </w:p>
        </w:tc>
        <w:tc>
          <w:tcPr>
            <w:tcW w:type="dxa" w:w="2880"/>
          </w:tcPr>
          <w:p>
            <w:r>
              <w:t>fuel price</w:t>
            </w:r>
          </w:p>
        </w:tc>
      </w:tr>
      <w:tr>
        <w:tc>
          <w:tcPr>
            <w:tcW w:type="dxa" w:w="2880"/>
          </w:tcPr>
          <w:p>
            <w:r>
              <w:t>policy/state_ev_policy_scores.csv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policy score (provisional)</w:t>
            </w:r>
          </w:p>
        </w:tc>
      </w:tr>
      <w:tr>
        <w:tc>
          <w:tcPr>
            <w:tcW w:type="dxa" w:w="2880"/>
          </w:tcPr>
          <w:p>
            <w:r>
              <w:t>geo/india_state.geojson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choropleth</w:t>
            </w:r>
          </w:p>
        </w:tc>
      </w:tr>
    </w:tbl>
    <w:p/>
    <w:p>
      <w:r>
        <w:t>2021 comes from cached dashboard responses (panel_source = dashboard_cache),</w:t>
      </w:r>
    </w:p>
    <w:p>
      <w:r>
        <w:t>2022 onward from the Vahan export (vahan_export). Nine cities have no 2021</w:t>
      </w:r>
    </w:p>
    <w:p>
      <w:r>
        <w:t>cache; their leading 12 months stay empty. The manifest records them, along with</w:t>
      </w:r>
    </w:p>
    <w:p>
      <w:r>
        <w:t>the 109 unobserved rows and the 17 covariate-poor configured cities.</w:t>
      </w:r>
    </w:p>
    <w:p>
      <w:r>
        <w:drawing>
          <wp:inline xmlns:a="http://schemas.openxmlformats.org/drawingml/2006/main" xmlns:pic="http://schemas.openxmlformats.org/drawingml/2006/picture">
            <wp:extent cx="5669280" cy="1899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112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Cleaning and feature engineering</w:t>
      </w:r>
    </w:p>
    <w:p>
      <w:pPr>
        <w:pStyle w:val="ListBullet"/>
      </w:pPr>
      <w:r>
        <w:t>Duplicate city-months are removed; the grid is reindexed so gaps are explicit.</w:t>
      </w:r>
    </w:p>
    <w:p>
      <w:pPr>
        <w:pStyle w:val="ListBullet"/>
      </w:pPr>
      <w:r>
        <w:t>Gaps of at most two months are interpolated; longer gaps stay empty.</w:t>
      </w:r>
    </w:p>
    <w:p>
      <w:pPr>
        <w:pStyle w:val="ListBullet"/>
      </w:pPr>
      <w:r>
        <w:t>IQR outliers are flagged per city and winsorised, never dropped</w:t>
      </w:r>
    </w:p>
    <w:p>
      <w:r>
        <w:t>(72 flagged).</w:t>
      </w:r>
    </w:p>
    <w:p>
      <w:pPr>
        <w:pStyle w:val="ListBullet"/>
      </w:pPr>
      <w:r>
        <w:t>Derived: cumulative stock, MoM/YoY growth, 3-month mean, market share, EV share</w:t>
      </w:r>
    </w:p>
    <w:p>
      <w:r>
        <w:t>of new sales, commercial share, fixed-radius supply, demand ratios.</w:t>
      </w:r>
    </w:p>
    <w:p>
      <w:pPr>
        <w:pStyle w:val="ListBullet"/>
      </w:pPr>
      <w:r>
        <w:t>master_ev_panel.csv is the analysis-ready merge: 3,519 × 116.</w:t>
      </w:r>
    </w:p>
    <w:p>
      <w:pPr>
        <w:pStyle w:val="Heading2"/>
      </w:pPr>
      <w:r>
        <w:t>4. Objective 1 — effective public demand</w:t>
      </w:r>
    </w:p>
    <w:p>
      <w:r>
        <w:t>effective_public_demand = weighted_ev_stock / stations_within_radius, where</w:t>
      </w:r>
    </w:p>
    <w:p>
      <w:r>
        <w:t>weighted stock uses 0.15·2W + 0.70·3W + 1.00·4W + 0.60·COMM. The comparable</w:t>
      </w:r>
    </w:p>
    <w:p>
      <w:r>
        <w:t>variant divides by stations_10km because the city circle radius varies 15–30 km.</w:t>
      </w:r>
    </w:p>
    <w:p>
      <w:r>
        <w:t>42 cities have a measured split; 6 use a state proxy and 3 a national proxy.</w:t>
      </w:r>
    </w:p>
    <w:p>
      <w:r>
        <w:drawing>
          <wp:inline xmlns:a="http://schemas.openxmlformats.org/drawingml/2006/main" xmlns:pic="http://schemas.openxmlformats.org/drawingml/2006/picture">
            <wp:extent cx="5669280" cy="3640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and_vs_sup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Objective 2 — adoption drivers (negative binomial)</w:t>
      </w:r>
    </w:p>
    <w:p>
      <w:r>
        <w:t>M1a is between-city (n=51); M1b is a panel with city fixed effects. The table</w:t>
      </w:r>
    </w:p>
    <w:p>
      <w:r>
        <w:t>reports incidence-rate ratios from M1a.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IRR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log_non_ev_market</w:t>
            </w:r>
          </w:p>
        </w:tc>
        <w:tc>
          <w:tcPr>
            <w:tcW w:type="dxa" w:w="2880"/>
          </w:tcPr>
          <w:p>
            <w:r>
              <w:t>2.72</w:t>
            </w:r>
          </w:p>
        </w:tc>
        <w:tc>
          <w:tcPr>
            <w:tcW w:type="dxa" w:w="2880"/>
          </w:tcPr>
          <w:p>
            <w:r>
              <w:t>1.56e-34</w:t>
            </w:r>
          </w:p>
        </w:tc>
      </w:tr>
      <w:tr>
        <w:tc>
          <w:tcPr>
            <w:tcW w:type="dxa" w:w="2880"/>
          </w:tcPr>
          <w:p>
            <w:r>
              <w:t>log_income</w:t>
            </w:r>
          </w:p>
        </w:tc>
        <w:tc>
          <w:tcPr>
            <w:tcW w:type="dxa" w:w="2880"/>
          </w:tcPr>
          <w:p>
            <w:r>
              <w:t>0.56</w:t>
            </w:r>
          </w:p>
        </w:tc>
        <w:tc>
          <w:tcPr>
            <w:tcW w:type="dxa" w:w="2880"/>
          </w:tcPr>
          <w:p>
            <w:r>
              <w:t>1.1e-10</w:t>
            </w:r>
          </w:p>
        </w:tc>
      </w:tr>
      <w:tr>
        <w:tc>
          <w:tcPr>
            <w:tcW w:type="dxa" w:w="2880"/>
          </w:tcPr>
          <w:p>
            <w:r>
              <w:t>ev_policy_score</w:t>
            </w:r>
          </w:p>
        </w:tc>
        <w:tc>
          <w:tcPr>
            <w:tcW w:type="dxa" w:w="2880"/>
          </w:tcPr>
          <w:p>
            <w:r>
              <w:t>1.35</w:t>
            </w:r>
          </w:p>
        </w:tc>
        <w:tc>
          <w:tcPr>
            <w:tcW w:type="dxa" w:w="2880"/>
          </w:tcPr>
          <w:p>
            <w:r>
              <w:t>0.000771</w:t>
            </w:r>
          </w:p>
        </w:tc>
      </w:tr>
      <w:tr>
        <w:tc>
          <w:tcPr>
            <w:tcW w:type="dxa" w:w="2880"/>
          </w:tcPr>
          <w:p>
            <w:r>
              <w:t>log_density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0.0536</w:t>
            </w:r>
          </w:p>
        </w:tc>
      </w:tr>
      <w:tr>
        <w:tc>
          <w:tcPr>
            <w:tcW w:type="dxa" w:w="2880"/>
          </w:tcPr>
          <w:p>
            <w:r>
              <w:t>mean_fuel_price</w:t>
            </w:r>
          </w:p>
        </w:tc>
        <w:tc>
          <w:tcPr>
            <w:tcW w:type="dxa" w:w="2880"/>
          </w:tcPr>
          <w:p>
            <w:r>
              <w:t>1.01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</w:tr>
      <w:tr>
        <w:tc>
          <w:tcPr>
            <w:tcW w:type="dxa" w:w="2880"/>
          </w:tcPr>
          <w:p>
            <w:r>
              <w:t>summer_max_temp_c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  <w:tc>
          <w:tcPr>
            <w:tcW w:type="dxa" w:w="2880"/>
          </w:tcPr>
          <w:p>
            <w:r>
              <w:t>0.242</w:t>
            </w:r>
          </w:p>
        </w:tc>
      </w:tr>
      <w:tr>
        <w:tc>
          <w:tcPr>
            <w:tcW w:type="dxa" w:w="2880"/>
          </w:tcPr>
          <w:p>
            <w:r>
              <w:t>log_population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0.311</w:t>
            </w:r>
          </w:p>
        </w:tc>
      </w:tr>
      <w:tr>
        <w:tc>
          <w:tcPr>
            <w:tcW w:type="dxa" w:w="2880"/>
          </w:tcPr>
          <w:p>
            <w:r>
              <w:t>highway_corridor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  <w:tc>
          <w:tcPr>
            <w:tcW w:type="dxa" w:w="2880"/>
          </w:tcPr>
          <w:p>
            <w:r>
              <w:t>0.702</w:t>
            </w:r>
          </w:p>
        </w:tc>
      </w:tr>
    </w:tbl>
    <w:p/>
    <w:p>
      <w:r>
        <w:t>The fuel price is mostly the Delhi series times a city ratio, so its coefficient</w:t>
      </w:r>
    </w:p>
    <w:p>
      <w:r>
        <w:t>is not a causal price effect. Refitting without it leaves the market-size and</w:t>
      </w:r>
    </w:p>
    <w:p>
      <w:r>
        <w:t>income coefficients essentially unchanged (model_m1_sensitivity.csv). Removing</w:t>
      </w:r>
    </w:p>
    <w:p>
      <w:r>
        <w:t>the provisional policy score also leaves the sign and significance of market size</w:t>
      </w:r>
    </w:p>
    <w:p>
      <w:r>
        <w:t>and income intact (model_m1_policy_sensitivity.csv).</w:t>
      </w:r>
    </w:p>
    <w:p>
      <w:pPr>
        <w:pStyle w:val="Heading2"/>
      </w:pPr>
      <w:r>
        <w:t>6. Objective 3 — High/Low demand classifier</w:t>
      </w:r>
    </w:p>
    <w:p>
      <w:r>
        <w:t>The label is the upper half of effective_public_demand_10km. Predictors are</w:t>
      </w:r>
    </w:p>
    <w:p>
      <w:r>
        <w:t>exogenous only: density, income, fuel price, policy, corridor, temperature. EV</w:t>
      </w:r>
    </w:p>
    <w:p>
      <w:r>
        <w:t>stock, charger counts and growth are excluded.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AUC mean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p05–p95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LOOCV</w:t>
            </w:r>
          </w:p>
        </w:tc>
        <w:tc>
          <w:tcPr>
            <w:tcW w:type="dxa" w:w="1234"/>
          </w:tcPr>
          <w:p>
            <w:r>
              <w:t>Train–CV gap</w:t>
            </w:r>
          </w:p>
        </w:tc>
      </w:tr>
      <w:tr>
        <w:tc>
          <w:tcPr>
            <w:tcW w:type="dxa" w:w="1234"/>
          </w:tcPr>
          <w:p>
            <w:r>
              <w:t>Logistic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0.6–1.0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</w:tr>
      <w:tr>
        <w:tc>
          <w:tcPr>
            <w:tcW w:type="dxa" w:w="1234"/>
          </w:tcPr>
          <w:p>
            <w:r>
              <w:t>LDA</w:t>
            </w:r>
          </w:p>
        </w:tc>
        <w:tc>
          <w:tcPr>
            <w:tcW w:type="dxa" w:w="1234"/>
          </w:tcPr>
          <w:p>
            <w:r>
              <w:t>0.818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0.6–1.0</w:t>
            </w:r>
          </w:p>
        </w:tc>
        <w:tc>
          <w:tcPr>
            <w:tcW w:type="dxa" w:w="1234"/>
          </w:tcPr>
          <w:p>
            <w:r>
              <w:t>0.768</w:t>
            </w:r>
          </w:p>
        </w:tc>
        <w:tc>
          <w:tcPr>
            <w:tcW w:type="dxa" w:w="1234"/>
          </w:tcPr>
          <w:p>
            <w:r>
              <w:t>0.784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</w:tr>
    </w:tbl>
    <w:p/>
    <w:p>
      <w:r>
        <w:t>Dropping the provisional policy score improves CV AUC to</w:t>
      </w:r>
    </w:p>
    <w:p>
      <w:r>
        <w:t>0.837, which is</w:t>
      </w:r>
    </w:p>
    <w:p>
      <w:r>
        <w:t>evidence that the provisional score adds noise. Restricting to the 44 verified</w:t>
      </w:r>
    </w:p>
    <w:p>
      <w:r>
        <w:t>demographics raises AUC to</w:t>
      </w:r>
    </w:p>
    <w:p>
      <w:r>
        <w:t>nan.</w:t>
      </w:r>
    </w:p>
    <w:p>
      <w:r>
        <w:drawing>
          <wp:inline xmlns:a="http://schemas.openxmlformats.org/drawingml/2006/main" xmlns:pic="http://schemas.openxmlformats.org/drawingml/2006/picture">
            <wp:extent cx="5669280" cy="2539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au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Objective 4 — 12-month forecasts</w:t>
      </w:r>
    </w:p>
    <w:p>
      <w:r>
        <w:t>All 51 cities are fitted. Each model is scored on a 9-month holdout; the winner</w:t>
      </w:r>
    </w:p>
    <w:p>
      <w:r>
        <w:t>is refit on the full series and forecast 12 months. Series are scaled before</w:t>
      </w:r>
    </w:p>
    <w:p>
      <w:r>
        <w:t>fitting to prevent the non-converged fits that previously produced forecasts</w:t>
      </w:r>
    </w:p>
    <w:p>
      <w:r>
        <w:t>around 1e30.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Winner</w:t>
            </w:r>
          </w:p>
        </w:tc>
        <w:tc>
          <w:tcPr>
            <w:tcW w:type="dxa" w:w="1234"/>
          </w:tcPr>
          <w:p>
            <w:r>
              <w:t>Last 12m</w:t>
            </w:r>
          </w:p>
        </w:tc>
        <w:tc>
          <w:tcPr>
            <w:tcW w:type="dxa" w:w="1234"/>
          </w:tcPr>
          <w:p>
            <w:r>
              <w:t>Forecast 12m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RMSE/level</w:t>
            </w:r>
          </w:p>
        </w:tc>
        <w:tc>
          <w:tcPr>
            <w:tcW w:type="dxa" w:w="1234"/>
          </w:tcPr>
          <w:p>
            <w:r>
              <w:t>Quality</w:t>
            </w:r>
          </w:p>
        </w:tc>
      </w:tr>
      <w:tr>
        <w:tc>
          <w:tcPr>
            <w:tcW w:type="dxa" w:w="1234"/>
          </w:tcPr>
          <w:p>
            <w:r>
              <w:t>Jaipur</w:t>
            </w:r>
          </w:p>
        </w:tc>
        <w:tc>
          <w:tcPr>
            <w:tcW w:type="dxa" w:w="1234"/>
          </w:tcPr>
          <w:p>
            <w:r>
              <w:t>Holt-Winters</w:t>
            </w:r>
          </w:p>
        </w:tc>
        <w:tc>
          <w:tcPr>
            <w:tcW w:type="dxa" w:w="1234"/>
          </w:tcPr>
          <w:p>
            <w:r>
              <w:t>30,456</w:t>
            </w:r>
          </w:p>
        </w:tc>
        <w:tc>
          <w:tcPr>
            <w:tcW w:type="dxa" w:w="1234"/>
          </w:tcPr>
          <w:p>
            <w:r>
              <w:t>63,996</w:t>
            </w:r>
          </w:p>
        </w:tc>
        <w:tc>
          <w:tcPr>
            <w:tcW w:type="dxa" w:w="1234"/>
          </w:tcPr>
          <w:p>
            <w:r>
              <w:t>1.101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Rajkot</w:t>
            </w:r>
          </w:p>
        </w:tc>
        <w:tc>
          <w:tcPr>
            <w:tcW w:type="dxa" w:w="1234"/>
          </w:tcPr>
          <w:p>
            <w:r>
              <w:t>SARIMA</w:t>
            </w:r>
          </w:p>
        </w:tc>
        <w:tc>
          <w:tcPr>
            <w:tcW w:type="dxa" w:w="1234"/>
          </w:tcPr>
          <w:p>
            <w:r>
              <w:t>8,300</w:t>
            </w:r>
          </w:p>
        </w:tc>
        <w:tc>
          <w:tcPr>
            <w:tcW w:type="dxa" w:w="1234"/>
          </w:tcPr>
          <w:p>
            <w:r>
              <w:t>15,780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Bhubaneswar</w:t>
            </w:r>
          </w:p>
        </w:tc>
        <w:tc>
          <w:tcPr>
            <w:tcW w:type="dxa" w:w="1234"/>
          </w:tcPr>
          <w:p>
            <w:r>
              <w:t>SARIMA</w:t>
            </w:r>
          </w:p>
        </w:tc>
        <w:tc>
          <w:tcPr>
            <w:tcW w:type="dxa" w:w="1234"/>
          </w:tcPr>
          <w:p>
            <w:r>
              <w:t>36,036</w:t>
            </w:r>
          </w:p>
        </w:tc>
        <w:tc>
          <w:tcPr>
            <w:tcW w:type="dxa" w:w="1234"/>
          </w:tcPr>
          <w:p>
            <w:r>
              <w:t>60,525</w:t>
            </w:r>
          </w:p>
        </w:tc>
        <w:tc>
          <w:tcPr>
            <w:tcW w:type="dxa" w:w="1234"/>
          </w:tcPr>
          <w:p>
            <w:r>
              <w:t>0.680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Guwahati</w:t>
            </w:r>
          </w:p>
        </w:tc>
        <w:tc>
          <w:tcPr>
            <w:tcW w:type="dxa" w:w="1234"/>
          </w:tcPr>
          <w:p>
            <w:r>
              <w:t>Holt-Winters</w:t>
            </w:r>
          </w:p>
        </w:tc>
        <w:tc>
          <w:tcPr>
            <w:tcW w:type="dxa" w:w="1234"/>
          </w:tcPr>
          <w:p>
            <w:r>
              <w:t>14,543</w:t>
            </w:r>
          </w:p>
        </w:tc>
        <w:tc>
          <w:tcPr>
            <w:tcW w:type="dxa" w:w="1234"/>
          </w:tcPr>
          <w:p>
            <w:r>
              <w:t>24,258</w:t>
            </w:r>
          </w:p>
        </w:tc>
        <w:tc>
          <w:tcPr>
            <w:tcW w:type="dxa" w:w="1234"/>
          </w:tcPr>
          <w:p>
            <w:r>
              <w:t>0.668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Pune</w:t>
            </w:r>
          </w:p>
        </w:tc>
        <w:tc>
          <w:tcPr>
            <w:tcW w:type="dxa" w:w="1234"/>
          </w:tcPr>
          <w:p>
            <w:r>
              <w:t>Holt-Winters</w:t>
            </w:r>
          </w:p>
        </w:tc>
        <w:tc>
          <w:tcPr>
            <w:tcW w:type="dxa" w:w="1234"/>
          </w:tcPr>
          <w:p>
            <w:r>
              <w:t>67,754</w:t>
            </w:r>
          </w:p>
        </w:tc>
        <w:tc>
          <w:tcPr>
            <w:tcW w:type="dxa" w:w="1234"/>
          </w:tcPr>
          <w:p>
            <w:r>
              <w:t>107,179</w:t>
            </w:r>
          </w:p>
        </w:tc>
        <w:tc>
          <w:tcPr>
            <w:tcW w:type="dxa" w:w="1234"/>
          </w:tcPr>
          <w:p>
            <w:r>
              <w:t>0.582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Madurai</w:t>
            </w:r>
          </w:p>
        </w:tc>
        <w:tc>
          <w:tcPr>
            <w:tcW w:type="dxa" w:w="1234"/>
          </w:tcPr>
          <w:p>
            <w:r>
              <w:t>SARIMA</w:t>
            </w:r>
          </w:p>
        </w:tc>
        <w:tc>
          <w:tcPr>
            <w:tcW w:type="dxa" w:w="1234"/>
          </w:tcPr>
          <w:p>
            <w:r>
              <w:t>5,455</w:t>
            </w:r>
          </w:p>
        </w:tc>
        <w:tc>
          <w:tcPr>
            <w:tcW w:type="dxa" w:w="1234"/>
          </w:tcPr>
          <w:p>
            <w:r>
              <w:t>8,585</w:t>
            </w:r>
          </w:p>
        </w:tc>
        <w:tc>
          <w:tcPr>
            <w:tcW w:type="dxa" w:w="1234"/>
          </w:tcPr>
          <w:p>
            <w:r>
              <w:t>0.574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Gurugram</w:t>
            </w:r>
          </w:p>
        </w:tc>
        <w:tc>
          <w:tcPr>
            <w:tcW w:type="dxa" w:w="1234"/>
          </w:tcPr>
          <w:p>
            <w:r>
              <w:t>SARIMA</w:t>
            </w:r>
          </w:p>
        </w:tc>
        <w:tc>
          <w:tcPr>
            <w:tcW w:type="dxa" w:w="1234"/>
          </w:tcPr>
          <w:p>
            <w:r>
              <w:t>3,238</w:t>
            </w:r>
          </w:p>
        </w:tc>
        <w:tc>
          <w:tcPr>
            <w:tcW w:type="dxa" w:w="1234"/>
          </w:tcPr>
          <w:p>
            <w:r>
              <w:t>5,055</w:t>
            </w:r>
          </w:p>
        </w:tc>
        <w:tc>
          <w:tcPr>
            <w:tcW w:type="dxa" w:w="1234"/>
          </w:tcPr>
          <w:p>
            <w:r>
              <w:t>0.561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Srinagar</w:t>
            </w:r>
          </w:p>
        </w:tc>
        <w:tc>
          <w:tcPr>
            <w:tcW w:type="dxa" w:w="1234"/>
          </w:tcPr>
          <w:p>
            <w:r>
              <w:t>SARIMA</w:t>
            </w:r>
          </w:p>
        </w:tc>
        <w:tc>
          <w:tcPr>
            <w:tcW w:type="dxa" w:w="1234"/>
          </w:tcPr>
          <w:p>
            <w:r>
              <w:t>3,092</w:t>
            </w:r>
          </w:p>
        </w:tc>
        <w:tc>
          <w:tcPr>
            <w:tcW w:type="dxa" w:w="1234"/>
          </w:tcPr>
          <w:p>
            <w:r>
              <w:t>4,780</w:t>
            </w:r>
          </w:p>
        </w:tc>
        <w:tc>
          <w:tcPr>
            <w:tcW w:type="dxa" w:w="1234"/>
          </w:tcPr>
          <w:p>
            <w:r>
              <w:t>0.546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Nashik</w:t>
            </w:r>
          </w:p>
        </w:tc>
        <w:tc>
          <w:tcPr>
            <w:tcW w:type="dxa" w:w="1234"/>
          </w:tcPr>
          <w:p>
            <w:r>
              <w:t>SARIMA</w:t>
            </w:r>
          </w:p>
        </w:tc>
        <w:tc>
          <w:tcPr>
            <w:tcW w:type="dxa" w:w="1234"/>
          </w:tcPr>
          <w:p>
            <w:r>
              <w:t>29,344</w:t>
            </w:r>
          </w:p>
        </w:tc>
        <w:tc>
          <w:tcPr>
            <w:tcW w:type="dxa" w:w="1234"/>
          </w:tcPr>
          <w:p>
            <w:r>
              <w:t>45,007</w:t>
            </w:r>
          </w:p>
        </w:tc>
        <w:tc>
          <w:tcPr>
            <w:tcW w:type="dxa" w:w="1234"/>
          </w:tcPr>
          <w:p>
            <w:r>
              <w:t>0.534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Noida</w:t>
            </w:r>
          </w:p>
        </w:tc>
        <w:tc>
          <w:tcPr>
            <w:tcW w:type="dxa" w:w="1234"/>
          </w:tcPr>
          <w:p>
            <w:r>
              <w:t>SARIMA</w:t>
            </w:r>
          </w:p>
        </w:tc>
        <w:tc>
          <w:tcPr>
            <w:tcW w:type="dxa" w:w="1234"/>
          </w:tcPr>
          <w:p>
            <w:r>
              <w:t>22,049</w:t>
            </w:r>
          </w:p>
        </w:tc>
        <w:tc>
          <w:tcPr>
            <w:tcW w:type="dxa" w:w="1234"/>
          </w:tcPr>
          <w:p>
            <w:r>
              <w:t>33,496</w:t>
            </w:r>
          </w:p>
        </w:tc>
        <w:tc>
          <w:tcPr>
            <w:tcW w:type="dxa" w:w="1234"/>
          </w:tcPr>
          <w:p>
            <w:r>
              <w:t>0.519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Vadodara</w:t>
            </w:r>
          </w:p>
        </w:tc>
        <w:tc>
          <w:tcPr>
            <w:tcW w:type="dxa" w:w="1234"/>
          </w:tcPr>
          <w:p>
            <w:r>
              <w:t>Holt-Winters</w:t>
            </w:r>
          </w:p>
        </w:tc>
        <w:tc>
          <w:tcPr>
            <w:tcW w:type="dxa" w:w="1234"/>
          </w:tcPr>
          <w:p>
            <w:r>
              <w:t>11,872</w:t>
            </w:r>
          </w:p>
        </w:tc>
        <w:tc>
          <w:tcPr>
            <w:tcW w:type="dxa" w:w="1234"/>
          </w:tcPr>
          <w:p>
            <w:r>
              <w:t>17,612</w:t>
            </w:r>
          </w:p>
        </w:tc>
        <w:tc>
          <w:tcPr>
            <w:tcW w:type="dxa" w:w="1234"/>
          </w:tcPr>
          <w:p>
            <w:r>
              <w:t>0.483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Coimbatore</w:t>
            </w:r>
          </w:p>
        </w:tc>
        <w:tc>
          <w:tcPr>
            <w:tcW w:type="dxa" w:w="1234"/>
          </w:tcPr>
          <w:p>
            <w:r>
              <w:t>Holt-Winters</w:t>
            </w:r>
          </w:p>
        </w:tc>
        <w:tc>
          <w:tcPr>
            <w:tcW w:type="dxa" w:w="1234"/>
          </w:tcPr>
          <w:p>
            <w:r>
              <w:t>10,769</w:t>
            </w:r>
          </w:p>
        </w:tc>
        <w:tc>
          <w:tcPr>
            <w:tcW w:type="dxa" w:w="1234"/>
          </w:tcPr>
          <w:p>
            <w:r>
              <w:t>15,784</w:t>
            </w:r>
          </w:p>
        </w:tc>
        <w:tc>
          <w:tcPr>
            <w:tcW w:type="dxa" w:w="1234"/>
          </w:tcPr>
          <w:p>
            <w:r>
              <w:t>0.466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</w:tbl>
    <w:p/>
    <w:p>
      <w:r>
        <w:t>Quality: 51 ok, 0 weak, 0</w:t>
      </w:r>
    </w:p>
    <w:p>
      <w:r>
        <w:t>unstable. The 2022-only sensitivity changes forecast growth by a median of</w:t>
      </w:r>
    </w:p>
    <w:p>
      <w:r>
        <w:t>0.033; the largest moves are</w:t>
      </w:r>
    </w:p>
    <w:p>
      <w:r>
        <w:t>Bhopal +0.41, Guwahati -0.26, Rajkot -0.26.</w:t>
      </w:r>
    </w:p>
    <w:p>
      <w:r>
        <w:t>The Dec-2021 → Jan-2022 seam flags 8 cities, led by Guwahati.</w:t>
      </w:r>
    </w:p>
    <w:p>
      <w:r>
        <w:drawing>
          <wp:inline xmlns:a="http://schemas.openxmlformats.org/drawingml/2006/main" xmlns:pic="http://schemas.openxmlformats.org/drawingml/2006/picture">
            <wp:extent cx="5669280" cy="3647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forecast_vs_obser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Objective 5 — Charging Demand Score</w:t>
      </w:r>
    </w:p>
    <w:p>
      <w:r>
        <w:t>CDS = 0.4·z(M1 expected monthly) + 0.3·P(high) + 0.3·z(M3 growth). A forecast</w:t>
      </w:r>
    </w:p>
    <w:p>
      <w:r>
        <w:t>only enters the score when forecast_quality = ok; otherwise observed growth is</w:t>
      </w:r>
    </w:p>
    <w:p>
      <w:r>
        <w:t>used and m3_source says 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CDS</w:t>
            </w:r>
          </w:p>
        </w:tc>
        <w:tc>
          <w:tcPr>
            <w:tcW w:type="dxa" w:w="2160"/>
          </w:tcPr>
          <w:p>
            <w:r>
              <w:t>Recommendation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Bengaluru</w:t>
            </w:r>
          </w:p>
        </w:tc>
        <w:tc>
          <w:tcPr>
            <w:tcW w:type="dxa" w:w="2160"/>
          </w:tcPr>
          <w:p>
            <w:r>
              <w:t>1.702</w:t>
            </w:r>
          </w:p>
        </w:tc>
        <w:tc>
          <w:tcPr>
            <w:tcW w:type="dxa" w:w="2160"/>
          </w:tcPr>
          <w:p>
            <w:r>
              <w:t>Critical — immediate fast-charger deployment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Jaipur</w:t>
            </w:r>
          </w:p>
        </w:tc>
        <w:tc>
          <w:tcPr>
            <w:tcW w:type="dxa" w:w="2160"/>
          </w:tcPr>
          <w:p>
            <w:r>
              <w:t>1.513</w:t>
            </w:r>
          </w:p>
        </w:tc>
        <w:tc>
          <w:tcPr>
            <w:tcW w:type="dxa" w:w="2160"/>
          </w:tcPr>
          <w:p>
            <w:r>
              <w:t>Critical — immediate fast-charger deployment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Delhi</w:t>
            </w:r>
          </w:p>
        </w:tc>
        <w:tc>
          <w:tcPr>
            <w:tcW w:type="dxa" w:w="2160"/>
          </w:tcPr>
          <w:p>
            <w:r>
              <w:t>1.498</w:t>
            </w:r>
          </w:p>
        </w:tc>
        <w:tc>
          <w:tcPr>
            <w:tcW w:type="dxa" w:w="2160"/>
          </w:tcPr>
          <w:p>
            <w:r>
              <w:t>High — prioritise in the next wave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Pune</w:t>
            </w:r>
          </w:p>
        </w:tc>
        <w:tc>
          <w:tcPr>
            <w:tcW w:type="dxa" w:w="2160"/>
          </w:tcPr>
          <w:p>
            <w:r>
              <w:t>1.354</w:t>
            </w:r>
          </w:p>
        </w:tc>
        <w:tc>
          <w:tcPr>
            <w:tcW w:type="dxa" w:w="2160"/>
          </w:tcPr>
          <w:p>
            <w:r>
              <w:t>High — prioritise in the next wave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Rajkot</w:t>
            </w:r>
          </w:p>
        </w:tc>
        <w:tc>
          <w:tcPr>
            <w:tcW w:type="dxa" w:w="2160"/>
          </w:tcPr>
          <w:p>
            <w:r>
              <w:t>0.734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Bhubaneswar</w:t>
            </w:r>
          </w:p>
        </w:tc>
        <w:tc>
          <w:tcPr>
            <w:tcW w:type="dxa" w:w="2160"/>
          </w:tcPr>
          <w:p>
            <w:r>
              <w:t>0.719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Hyderabad</w:t>
            </w:r>
          </w:p>
        </w:tc>
        <w:tc>
          <w:tcPr>
            <w:tcW w:type="dxa" w:w="2160"/>
          </w:tcPr>
          <w:p>
            <w:r>
              <w:t>0.634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Noida</w:t>
            </w:r>
          </w:p>
        </w:tc>
        <w:tc>
          <w:tcPr>
            <w:tcW w:type="dxa" w:w="2160"/>
          </w:tcPr>
          <w:p>
            <w:r>
              <w:t>0.541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Lucknow</w:t>
            </w:r>
          </w:p>
        </w:tc>
        <w:tc>
          <w:tcPr>
            <w:tcW w:type="dxa" w:w="2160"/>
          </w:tcPr>
          <w:p>
            <w:r>
              <w:t>0.484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Guwahati</w:t>
            </w:r>
          </w:p>
        </w:tc>
        <w:tc>
          <w:tcPr>
            <w:tcW w:type="dxa" w:w="2160"/>
          </w:tcPr>
          <w:p>
            <w:r>
              <w:t>0.401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Patna</w:t>
            </w:r>
          </w:p>
        </w:tc>
        <w:tc>
          <w:tcPr>
            <w:tcW w:type="dxa" w:w="2160"/>
          </w:tcPr>
          <w:p>
            <w:r>
              <w:t>0.389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Nashik</w:t>
            </w:r>
          </w:p>
        </w:tc>
        <w:tc>
          <w:tcPr>
            <w:tcW w:type="dxa" w:w="2160"/>
          </w:tcPr>
          <w:p>
            <w:r>
              <w:t>0.365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Gwalior</w:t>
            </w:r>
          </w:p>
        </w:tc>
        <w:tc>
          <w:tcPr>
            <w:tcW w:type="dxa" w:w="2160"/>
          </w:tcPr>
          <w:p>
            <w:r>
              <w:t>0.232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Indore</w:t>
            </w:r>
          </w:p>
        </w:tc>
        <w:tc>
          <w:tcPr>
            <w:tcW w:type="dxa" w:w="2160"/>
          </w:tcPr>
          <w:p>
            <w:r>
              <w:t>0.219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  <w:tc>
          <w:tcPr>
            <w:tcW w:type="dxa" w:w="2160"/>
          </w:tcPr>
          <w:p>
            <w:r>
              <w:t>0.169</w:t>
            </w:r>
          </w:p>
        </w:tc>
        <w:tc>
          <w:tcPr>
            <w:tcW w:type="dxa" w:w="2160"/>
          </w:tcPr>
          <w:p>
            <w:r>
              <w:t>Moderate — monitor and plan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8748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s_top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Weight sensitivity (top-15 membership):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Perturbation</w:t>
            </w:r>
          </w:p>
        </w:tc>
        <w:tc>
          <w:tcPr>
            <w:tcW w:type="dxa" w:w="2160"/>
          </w:tcPr>
          <w:p>
            <w:r>
              <w:t>Overlap</w:t>
            </w:r>
          </w:p>
        </w:tc>
        <w:tc>
          <w:tcPr>
            <w:tcW w:type="dxa" w:w="2160"/>
          </w:tcPr>
          <w:p>
            <w:r>
              <w:t>Entered</w:t>
            </w:r>
          </w:p>
        </w:tc>
        <w:tc>
          <w:tcPr>
            <w:tcW w:type="dxa" w:w="2160"/>
          </w:tcPr>
          <w:p>
            <w:r>
              <w:t>Dropped</w:t>
            </w:r>
          </w:p>
        </w:tc>
      </w:tr>
      <w:tr>
        <w:tc>
          <w:tcPr>
            <w:tcW w:type="dxa" w:w="2160"/>
          </w:tcPr>
          <w:p>
            <w:r>
              <w:t>m1 -0.10</w:t>
            </w:r>
          </w:p>
        </w:tc>
        <w:tc>
          <w:tcPr>
            <w:tcW w:type="dxa" w:w="2160"/>
          </w:tcPr>
          <w:p>
            <w:r>
              <w:t>15/15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m1 +0.10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Surat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</w:tr>
      <w:tr>
        <w:tc>
          <w:tcPr>
            <w:tcW w:type="dxa" w:w="2160"/>
          </w:tcPr>
          <w:p>
            <w:r>
              <w:t>m2 -0.10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Surat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</w:tr>
      <w:tr>
        <w:tc>
          <w:tcPr>
            <w:tcW w:type="dxa" w:w="2160"/>
          </w:tcPr>
          <w:p>
            <w:r>
              <w:t>m2 +0.10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Allahabad (Prayagraj)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</w:tr>
      <w:tr>
        <w:tc>
          <w:tcPr>
            <w:tcW w:type="dxa" w:w="2160"/>
          </w:tcPr>
          <w:p>
            <w:r>
              <w:t>m3 -0.10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Allahabad (Prayagraj)</w:t>
            </w:r>
          </w:p>
        </w:tc>
        <w:tc>
          <w:tcPr>
            <w:tcW w:type="dxa" w:w="2160"/>
          </w:tcPr>
          <w:p>
            <w:r>
              <w:t>Ranchi</w:t>
            </w:r>
          </w:p>
        </w:tc>
      </w:tr>
      <w:tr>
        <w:tc>
          <w:tcPr>
            <w:tcW w:type="dxa" w:w="2160"/>
          </w:tcPr>
          <w:p>
            <w:r>
              <w:t>m3 +0.10</w:t>
            </w:r>
          </w:p>
        </w:tc>
        <w:tc>
          <w:tcPr>
            <w:tcW w:type="dxa" w:w="2160"/>
          </w:tcPr>
          <w:p>
            <w:r>
              <w:t>14/15</w:t>
            </w:r>
          </w:p>
        </w:tc>
        <w:tc>
          <w:tcPr>
            <w:tcW w:type="dxa" w:w="2160"/>
          </w:tcPr>
          <w:p>
            <w:r>
              <w:t>Madurai</w:t>
            </w:r>
          </w:p>
        </w:tc>
        <w:tc>
          <w:tcPr>
            <w:tcW w:type="dxa" w:w="2160"/>
          </w:tcPr>
          <w:p>
            <w:r>
              <w:t>Indore</w:t>
            </w:r>
          </w:p>
        </w:tc>
      </w:tr>
    </w:tbl>
    <w:p/>
    <w:p>
      <w:r>
        <w:t>The interactive map is reports/cds_map.html.</w:t>
      </w:r>
    </w:p>
    <w:p>
      <w:pPr>
        <w:pStyle w:val="Heading2"/>
      </w:pPr>
      <w:r>
        <w:t>9. Robustness and limitations</w:t>
      </w:r>
    </w:p>
    <w:p>
      <w:pPr>
        <w:pStyle w:val="ListBullet"/>
      </w:pPr>
      <w:r>
        <w:t>Fuel price is modelled for most cities; M1 is shown with and without it.</w:t>
      </w:r>
    </w:p>
    <w:p>
      <w:pPr>
        <w:pStyle w:val="ListBullet"/>
      </w:pPr>
      <w:r>
        <w:t>Policy scores are provisional for all 30 states. The rubric columns are</w:t>
      </w:r>
    </w:p>
    <w:p>
      <w:r>
        <w:t>blank and 0 states are verified. The BEE policy host was unreachable from</w:t>
      </w:r>
    </w:p>
    <w:p>
      <w:r>
        <w:t>the build environment, so the PDFs could not be read;</w:t>
      </w:r>
    </w:p>
    <w:p>
      <w:r>
        <w:t>scripts/verify_policy_scores.py produces an evidence table where it is</w:t>
      </w:r>
    </w:p>
    <w:p>
      <w:r>
        <w:t>reachable.</w:t>
      </w:r>
    </w:p>
    <w:p>
      <w:pPr>
        <w:pStyle w:val="ListBullet"/>
      </w:pPr>
      <w:r>
        <w:t>Seven cities use municipal boundaries rather than urban agglomerations;</w:t>
      </w:r>
    </w:p>
    <w:p>
      <w:r>
        <w:t>their populations are verified but M1/M2 are still shown with and without them.</w:t>
      </w:r>
    </w:p>
    <w:p>
      <w:pPr>
        <w:pStyle w:val="ListBullet"/>
      </w:pPr>
      <w:r>
        <w:t>2021 seam: 8 cities move by more than 1.5× into 2022; the 2022-only M3</w:t>
      </w:r>
    </w:p>
    <w:p>
      <w:r>
        <w:t>sensitivity is reported above.</w:t>
      </w:r>
    </w:p>
    <w:p>
      <w:pPr>
        <w:pStyle w:val="ListBullet"/>
      </w:pPr>
      <w:r>
        <w:t>Chargers are a single snapshot; no monthly supply series exists.</w:t>
      </w:r>
    </w:p>
    <w:p>
      <w:pPr>
        <w:pStyle w:val="ListBullet"/>
      </w:pPr>
      <w:r>
        <w:t>17 of 68 configured cities lack city-level covariates and are excluded from the</w:t>
      </w:r>
    </w:p>
    <w:p>
      <w:r>
        <w:t>panel; 9 of the 51 analysed cities lack 2021 data.</w:t>
      </w:r>
    </w:p>
    <w:p>
      <w:pPr>
        <w:pStyle w:val="ListBullet"/>
      </w:pPr>
      <w:r>
        <w:t>n=51 is small for a classifier; report the CV spread, not a single AUC.</w:t>
      </w:r>
    </w:p>
    <w:p>
      <w:pPr>
        <w:pStyle w:val="Heading2"/>
      </w:pPr>
      <w:r>
        <w:t>10. Recommendations</w:t>
      </w:r>
    </w:p>
    <w:p>
      <w:pPr>
        <w:pStyle w:val="ListNumber"/>
      </w:pPr>
      <w:r>
        <w:t>Verify the 7 demographic rows against Census UA tables before quoting</w:t>
      </w:r>
    </w:p>
    <w:p>
      <w:r>
        <w:t>density-driven results; if they cannot be verified, use the 44-city model.</w:t>
      </w:r>
    </w:p>
    <w:p>
      <w:pPr>
        <w:pStyle w:val="ListNumber"/>
      </w:pPr>
      <w:r>
        <w:t>Read the policy PDFs and fill the rubric with cited snippets; until then,</w:t>
      </w:r>
    </w:p>
    <w:p>
      <w:r>
        <w:t>treat the policy coefficient as provisional.</w:t>
      </w:r>
    </w:p>
    <w:p>
      <w:pPr>
        <w:pStyle w:val="ListNumber"/>
      </w:pPr>
      <w:r>
        <w:t>Use the fixed 10 km supply measure for comparisons; never compare the</w:t>
      </w:r>
    </w:p>
    <w:p>
      <w:r>
        <w:t>variable-radius circle counts.</w:t>
      </w:r>
    </w:p>
    <w:p>
      <w:pPr>
        <w:pStyle w:val="ListNumber"/>
      </w:pPr>
      <w:r>
        <w:t>Treat the 2021 seam as a source boundary and prefer the 2022-only forecast for</w:t>
      </w:r>
    </w:p>
    <w:p>
      <w:r>
        <w:t>cities flagged in seam_2021_2022.csv.</w:t>
      </w:r>
    </w:p>
    <w:p>
      <w:pPr>
        <w:pStyle w:val="ListNumber"/>
      </w:pPr>
      <w:r>
        <w:t>Deploy against the top 15 shortlist (cds_ranking_top15.csv), not the full</w:t>
      </w:r>
    </w:p>
    <w:p>
      <w:r>
        <w:t>51-city ranking.</w:t>
      </w:r>
    </w:p>
    <w:p>
      <w:pPr>
        <w:pStyle w:val="Heading2"/>
      </w:pPr>
      <w:r>
        <w:t>Appendix — output map</w:t>
      </w:r>
    </w:p>
    <w:p>
      <w:pPr>
        <w:pStyle w:val="ListBullet"/>
      </w:pPr>
      <w:r>
        <w:t>data/processed/master_ev_panel.csv — analysis-ready city × month table.</w:t>
      </w:r>
    </w:p>
    <w:p>
      <w:pPr>
        <w:pStyle w:val="ListBullet"/>
      </w:pPr>
      <w:r>
        <w:t>data/processed/cds_ranking.csv / cds_ranking_top15.csv — full and shortlist.</w:t>
      </w:r>
    </w:p>
    <w:p>
      <w:pPr>
        <w:pStyle w:val="ListBullet"/>
      </w:pPr>
      <w:r>
        <w:t>data/processed/model_m1_*, model_m2_*, model_m3_* — model outputs.</w:t>
      </w:r>
    </w:p>
    <w:p>
      <w:pPr>
        <w:pStyle w:val="ListBullet"/>
      </w:pPr>
      <w:r>
        <w:t>reports/cds_map.html — interactive map.</w:t>
      </w:r>
    </w:p>
    <w:p>
      <w:pPr>
        <w:pStyle w:val="ListBullet"/>
      </w:pPr>
      <w:r>
        <w:t>reports/seam_2021_2022.csv — seam diagnostics.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